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88S40098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2025, but only if the constitutional amendment proposed by the 88th Legislature, 4th Called Session, 2023, to authorize the legislature to set a lower limit on the maximum appraised value of a residence homestead for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