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88S40176 MZM-D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Raymond</w:t>
      </w:r>
      <w:r xml:space="preserve">
        <w:tab wTab="150" tlc="none" cTlc="0"/>
      </w:r>
      <w:r>
        <w:t xml:space="preserve">H.B.</w:t>
      </w:r>
      <w:r xml:space="preserve">
        <w:t> </w:t>
      </w:r>
      <w:r>
        <w:t xml:space="preserve">No.</w:t>
      </w:r>
      <w:r xml:space="preserve">
        <w:t> </w:t>
      </w:r>
      <w:r>
        <w:t xml:space="preserve">93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increasing the criminal penalty for making a false report of a bomb threat involving certain locations.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42.06(b), Penal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w:t>
      </w:r>
      <w:r>
        <w:rPr>
          <w:u w:val="single"/>
        </w:rPr>
        <w:t xml:space="preserve">, except that the offense is: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state jail felony if</w:t>
      </w:r>
      <w:r>
        <w:t xml:space="preserve"> [</w:t>
      </w:r>
      <w:r>
        <w:rPr>
          <w:strike/>
        </w:rPr>
        <w:t xml:space="preserve">unless</w:t>
      </w:r>
      <w:r>
        <w:t xml:space="preserve">] the false report is of an emergency involving a public or private institution of higher education or involving a public primary or secondary school, public communications, public transportation, public water, gas, or power supply or other public service</w:t>
      </w:r>
      <w:r>
        <w:rPr>
          <w:u w:val="single"/>
        </w:rPr>
        <w:t xml:space="preserve">;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felony of the third degree if the false report is of a bombing involving: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or private primary or secondary school;</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public or private institution of higher education;</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proprietary, vocational, or technical school; or</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an established place of religious worship</w:t>
      </w:r>
      <w:r>
        <w:t xml:space="preserve"> </w:t>
      </w:r>
      <w:r>
        <w:t xml:space="preserve">[</w:t>
      </w:r>
      <w:r>
        <w:rPr>
          <w:strike/>
        </w:rPr>
        <w:t xml:space="preserve">, in which event the offense is a state jail felony</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