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H.B.</w:t>
      </w:r>
      <w:r xml:space="preserve">
        <w:t> </w:t>
      </w:r>
      <w:r>
        <w:t xml:space="preserve">No.</w:t>
      </w:r>
      <w:r xml:space="preserve">
        <w:t> </w:t>
      </w:r>
      <w:r>
        <w:t xml:space="preserve">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period of appointment of a board of managers of a school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39A.208(a)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board of managers shall, during the period of the appointment, order the election of members of the board of trustees of the school district in accordance with applicable provisions of law. </w:t>
      </w:r>
      <w:r>
        <w:t xml:space="preserve"> </w:t>
      </w:r>
      <w:r>
        <w:rPr>
          <w:u w:val="single"/>
        </w:rPr>
        <w:t xml:space="preserve">The</w:t>
      </w:r>
      <w:r>
        <w:t xml:space="preserve"> [</w:t>
      </w:r>
      <w:r>
        <w:rPr>
          <w:strike/>
        </w:rPr>
        <w:t xml:space="preserve">Except as provided by Subsection (b), the</w:t>
      </w:r>
      <w:r>
        <w:t xml:space="preserve">] members of the board of trustees do not assume any powers or duties after the election until the appointment of the board of managers expires.</w:t>
      </w:r>
    </w:p>
    <w:p w:rsidR="003F3435" w:rsidRDefault="0032493E">
      <w:pPr>
        <w:spacing w:line="480" w:lineRule="auto"/>
        <w:ind w:firstLine="720"/>
        <w:jc w:val="both"/>
      </w:pPr>
      <w:r>
        <w:t xml:space="preserve">(b)</w:t>
      </w:r>
      <w:r xml:space="preserve">
        <w:t> </w:t>
      </w:r>
      <w:r xml:space="preserve">
        <w:t> </w:t>
      </w:r>
      <w:r>
        <w:rPr>
          <w:u w:val="single"/>
        </w:rPr>
        <w:t xml:space="preserve">On</w:t>
      </w:r>
      <w:r>
        <w:t xml:space="preserve"> [</w:t>
      </w:r>
      <w:r>
        <w:rPr>
          <w:strike/>
        </w:rPr>
        <w:t xml:space="preserve">Except as otherwise provided by Subsection (c), not later than</w:t>
      </w:r>
      <w:r>
        <w:t xml:space="preserve">] the second anniversary of the date the board of managers of a school district was appointed, the [</w:t>
      </w:r>
      <w:r>
        <w:rPr>
          <w:strike/>
        </w:rPr>
        <w:t xml:space="preserve">commissioner shall notify the board of managers and the board of trustees of the date on which the</w:t>
      </w:r>
      <w:r>
        <w:t xml:space="preserve">] appointment of the board of managers </w:t>
      </w:r>
      <w:r>
        <w:rPr>
          <w:u w:val="single"/>
        </w:rPr>
        <w:t xml:space="preserve">expires</w:t>
      </w:r>
      <w:r>
        <w:t xml:space="preserve"> [</w:t>
      </w:r>
      <w:r>
        <w:rPr>
          <w:strike/>
        </w:rPr>
        <w:t xml:space="preserve">will expire. </w:t>
      </w:r>
      <w:r>
        <w:rPr>
          <w:strike/>
        </w:rPr>
        <w:t xml:space="preserve"> </w:t>
      </w:r>
      <w:r>
        <w:rPr>
          <w:strike/>
        </w:rPr>
        <w:t xml:space="preserve">Following each of the last three years of the period of the appointment, one-third of the members of the board of managers shall be replaced by the number of members of the board of trustees of the district who were elected at an election ordered under Subsection (a) that constitutes, as closely as possible, one-third of the membership of the board of trustees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39A.255(c), Education Code, is amended to read as follows:</w:t>
      </w:r>
    </w:p>
    <w:p w:rsidR="003F3435" w:rsidRDefault="0032493E">
      <w:pPr>
        <w:spacing w:line="480" w:lineRule="auto"/>
        <w:ind w:firstLine="720"/>
        <w:jc w:val="both"/>
      </w:pPr>
      <w:r>
        <w:t xml:space="preserve">(c)</w:t>
      </w:r>
      <w:r xml:space="preserve">
        <w:t> </w:t>
      </w:r>
      <w:r xml:space="preserve">
        <w:t> </w:t>
      </w:r>
      <w:r>
        <w:t xml:space="preserve">Nothing in this section or the following provisions of this chapter may be construed to modify any provision of Subchapter D, Chapter 12, relating to the expiration, nonrenewal, revocation, or modification of the governance of an open-enrollment charter school:</w:t>
      </w:r>
    </w:p>
    <w:p w:rsidR="003F3435" w:rsidRDefault="0032493E">
      <w:pPr>
        <w:spacing w:line="480" w:lineRule="auto"/>
        <w:ind w:firstLine="1440"/>
        <w:jc w:val="both"/>
      </w:pPr>
      <w:r>
        <w:t xml:space="preserve">(1)</w:t>
      </w:r>
      <w:r xml:space="preserve">
        <w:t> </w:t>
      </w:r>
      <w:r xml:space="preserve">
        <w:t> </w:t>
      </w:r>
      <w:r>
        <w:t xml:space="preserve">Subchapter C;</w:t>
      </w:r>
    </w:p>
    <w:p w:rsidR="003F3435" w:rsidRDefault="0032493E">
      <w:pPr>
        <w:spacing w:line="480" w:lineRule="auto"/>
        <w:ind w:firstLine="1440"/>
        <w:jc w:val="both"/>
      </w:pPr>
      <w:r>
        <w:t xml:space="preserve">(2)</w:t>
      </w:r>
      <w:r xml:space="preserve">
        <w:t> </w:t>
      </w:r>
      <w:r xml:space="preserve">
        <w:t> </w:t>
      </w:r>
      <w:r>
        <w:t xml:space="preserve">Subchapter D;</w:t>
      </w:r>
    </w:p>
    <w:p w:rsidR="003F3435" w:rsidRDefault="0032493E">
      <w:pPr>
        <w:spacing w:line="480" w:lineRule="auto"/>
        <w:ind w:firstLine="1440"/>
        <w:jc w:val="both"/>
      </w:pPr>
      <w:r>
        <w:t xml:space="preserve">(3)</w:t>
      </w:r>
      <w:r xml:space="preserve">
        <w:t> </w:t>
      </w:r>
      <w:r xml:space="preserve">
        <w:t> </w:t>
      </w:r>
      <w:r>
        <w:t xml:space="preserve">Section 39A.201(b);</w:t>
      </w:r>
    </w:p>
    <w:p w:rsidR="003F3435" w:rsidRDefault="0032493E">
      <w:pPr>
        <w:spacing w:line="480" w:lineRule="auto"/>
        <w:ind w:firstLine="1440"/>
        <w:jc w:val="both"/>
      </w:pPr>
      <w:r>
        <w:t xml:space="preserve">(4)</w:t>
      </w:r>
      <w:r xml:space="preserve">
        <w:t> </w:t>
      </w:r>
      <w:r xml:space="preserve">
        <w:t> </w:t>
      </w:r>
      <w:r>
        <w:t xml:space="preserve">Section 39A.206(a); </w:t>
      </w:r>
      <w:r>
        <w:rPr>
          <w:u w:val="single"/>
        </w:rPr>
        <w:t xml:space="preserve">and</w:t>
      </w:r>
    </w:p>
    <w:p w:rsidR="003F3435" w:rsidRDefault="0032493E">
      <w:pPr>
        <w:spacing w:line="480" w:lineRule="auto"/>
        <w:ind w:firstLine="1440"/>
        <w:jc w:val="both"/>
      </w:pPr>
      <w:r>
        <w:t xml:space="preserve">(5)</w:t>
      </w:r>
      <w:r xml:space="preserve">
        <w:t> </w:t>
      </w:r>
      <w:r xml:space="preserve">
        <w:t> </w:t>
      </w:r>
      <w:r>
        <w:t xml:space="preserve">Section 39A.207[</w:t>
      </w:r>
      <w:r>
        <w:rPr>
          <w:strike/>
        </w:rPr>
        <w:t xml:space="preserve">;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Section 39A.209</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39A.208(c); and</w:t>
      </w:r>
    </w:p>
    <w:p w:rsidR="003F3435" w:rsidRDefault="0032493E">
      <w:pPr>
        <w:spacing w:line="480" w:lineRule="auto"/>
        <w:ind w:firstLine="1440"/>
        <w:jc w:val="both"/>
      </w:pPr>
      <w:r>
        <w:t xml:space="preserve">(2)</w:t>
      </w:r>
      <w:r xml:space="preserve">
        <w:t> </w:t>
      </w:r>
      <w:r xml:space="preserve">
        <w:t> </w:t>
      </w:r>
      <w:r>
        <w:t xml:space="preserve">Section 39A.209.</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39A.208, Education Code, as amended by this Act, applies to a board of managers operating on or after the effective date of this Act, regardless of the date on which the board of managers was appointed.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