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transportation of students entitled to a public education grant.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29.203(f),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school district in which a student resides shall provide each student attending a school in another district under this subchapter transportation free of charge to and from the school the student </w:t>
      </w:r>
      <w:r>
        <w:rPr>
          <w:u w:val="single"/>
        </w:rPr>
        <w:t xml:space="preserve">attends</w:t>
      </w:r>
      <w:r>
        <w:t xml:space="preserve"> [</w:t>
      </w:r>
      <w:r>
        <w:rPr>
          <w:strike/>
        </w:rPr>
        <w:t xml:space="preserve">would otherwise attend</w:t>
      </w:r>
      <w:r>
        <w:t xml:space="preserve">].  </w:t>
      </w:r>
      <w:r>
        <w:rPr>
          <w:u w:val="single"/>
        </w:rPr>
        <w:t xml:space="preserve">The agency shall reimburse the school district that provides transportation to a student under this subsection for the costs associated with providing the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2024-2025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