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may, after making a determination that probable cause exists for arrest for an offense under Section 51.02 or 51.03, Penal Code, order the person released from custody and issue a written order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in a person's case at any time after the person's appearance before a magistrate under Article 14.06 or 15.17 may, in lieu of continuing the prosecution of or entering an adjudication regarding an offense under Section 51.02 or 51.03, Penal Code, dismiss the charge pending against the person and issue a written order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order authorized by Subsection (a) or (b) must discharge the person and require the person to return to the foreign nation from which the person entered or attempted to enter, and may be issued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discharge under an order described by Subsection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 person's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issued under this article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county clerk of the county in which the person was arrested, for an order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clerk of the court exercising jurisdiction in the case, for an order described by Subsection (b) or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seventh day after the date an order is issued under this article, the law enforcement officer or state agency required to monitor compliance with the order shall report the issuance of the order to the Department of Public Safety for inclusion in the computerized criminal history system under Chapter 66.</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66.102,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information described by this article, information in the computerized criminal history system must include any order issued under Article 5B.002.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