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basic allotment and guaranteed yield under the Foundation School Program, including an adjustment in those amounts to reflect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$7,365</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$7,365</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the basic allotment provided to a district under Subsection (a) or (b) is adjusted annually to increase the allotment by a factor equal to the average annual percentage increase, if any, in the Consumer Price Index for All Urban Consumers published by the Bureau of Labor Statistics of the United States Department of Labor for the preceding five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daily attendance, plus $1 for each student in average daily attendance per every $50 by which the district's maximum basic allotment under Section 48.051 exceeds </w:t>
      </w:r>
      <w:r>
        <w:rPr>
          <w:u w:val="single"/>
        </w:rPr>
        <w:t xml:space="preserve">$7,365</w:t>
      </w:r>
      <w:r>
        <w:t xml:space="preserve"> [</w:t>
      </w:r>
      <w:r>
        <w:rPr>
          <w:strike/>
        </w:rPr>
        <w:t xml:space="preserve">$6,160</w:t>
      </w:r>
      <w:r>
        <w:t xml:space="preserve">],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