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continuing education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6002.159, Insurance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rPr>
          <w:u w:val="single"/>
        </w:rPr>
        <w:t xml:space="preserve">The commissioner may not adopt a rule that excludes or devalues a signed or otherwise substantially verifiable certificate of training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applicable to the areas of work authorized by the relevant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issued by a training program or school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nationally recognized;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authorized under the Occupations Code or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not adopt a rule that requires more than eight hours of</w:t>
      </w:r>
      <w:r>
        <w:t xml:space="preserve"> [</w:t>
      </w:r>
      <w:r>
        <w:rPr>
          <w:strike/>
        </w:rPr>
        <w:t xml:space="preserve">Participation in the</w:t>
      </w:r>
      <w:r>
        <w:t xml:space="preserve">] continuing education </w:t>
      </w:r>
      <w:r>
        <w:rPr>
          <w:u w:val="single"/>
        </w:rPr>
        <w:t xml:space="preserve">for any license renewal period</w:t>
      </w:r>
      <w:r>
        <w:t xml:space="preserve"> [</w:t>
      </w:r>
      <w:r>
        <w:rPr>
          <w:strike/>
        </w:rPr>
        <w:t xml:space="preserve">programs is voluntary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