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88S40270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uniform coordination of benefits questionnaire for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D to read as follows:</w:t>
      </w:r>
    </w:p>
    <w:p w:rsidR="003F3435" w:rsidRDefault="0032493E">
      <w:pPr>
        <w:spacing w:line="480" w:lineRule="auto"/>
        <w:jc w:val="center"/>
      </w:pPr>
      <w:r>
        <w:rPr>
          <w:u w:val="single"/>
        </w:rPr>
        <w:t xml:space="preserve">SUBCHAPTER D. COORDINATION OF BENEFITS QUESTIONNAIRE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1203.151.</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1203.152.</w:t>
      </w:r>
      <w:r>
        <w:rPr>
          <w:u w:val="single"/>
        </w:rPr>
        <w:t xml:space="preserve"> </w:t>
      </w:r>
      <w:r>
        <w:rPr>
          <w:u w:val="single"/>
        </w:rPr>
        <w:t xml:space="preserve"> </w:t>
      </w:r>
      <w:r>
        <w:rPr>
          <w:u w:val="single"/>
        </w:rPr>
        <w:t xml:space="preserve">CREATION OF UNIFORM COORDINATION OF BENEFITS QUESTIONNAIRE.  In collaboration with appropriate stakeholders, the commissioner shall adopt rules establishing a uniform coordination of benefits questionnaire to be used by all health benefit plan issuers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1203.153.</w:t>
      </w:r>
      <w:r>
        <w:rPr>
          <w:u w:val="single"/>
        </w:rPr>
        <w:t xml:space="preserve"> </w:t>
      </w:r>
      <w:r>
        <w:rPr>
          <w:u w:val="single"/>
        </w:rPr>
        <w:t xml:space="preserve"> </w:t>
      </w:r>
      <w:r>
        <w:rPr>
          <w:u w:val="single"/>
        </w:rPr>
        <w:t xml:space="preserve">UNIFORM COORDINATION OF BENEFITS QUESTIONNAIRE REQUIRED.  Each health benefit plan issuer that issues a health benefit plan that includes a coordination of benefits provision shall use the uniform coordination of benefits questionnaire established under Section 1203.152 and make the questionnaire available to health care providers as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the 121st day after the effective date of this Act, the commissioner of insurance shall adopt rules establishing the uniform coordination of benefits questionnaire under Section 1203.152, Insurance Code, as added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the use of a coordination of benefits questionnaire on or after the 151st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