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88S40293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criminal mischief involving tampering with a state-owned barrier or part of a barrier used to prevent travel across the international border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 Penal Code, is amended by amending Subsection (b) and adding Subsection (l)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w:t>
      </w:r>
      <w:r>
        <w:rPr>
          <w:u w:val="single"/>
        </w:rPr>
        <w:t xml:space="preserve">,</w:t>
      </w:r>
      <w:r>
        <w:t xml:space="preserve"> [</w:t>
      </w:r>
      <w:r>
        <w:rPr>
          <w:strike/>
        </w:rPr>
        <w:t xml:space="preserve">and</w:t>
      </w:r>
      <w:r>
        <w:t xml:space="preserve">] (h), </w:t>
      </w:r>
      <w:r>
        <w:rPr>
          <w:u w:val="single"/>
        </w:rPr>
        <w:t xml:space="preserve">and (l),</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supply; or</w:t>
      </w:r>
    </w:p>
    <w:p w:rsidR="003F3435" w:rsidRDefault="0032493E">
      <w:pPr>
        <w:spacing w:line="480" w:lineRule="auto"/>
        <w:ind w:firstLine="2160"/>
        <w:jc w:val="both"/>
      </w:pPr>
      <w:r>
        <w:t xml:space="preserve">(E)</w:t>
      </w:r>
      <w:r xml:space="preserve">
        <w:t> </w:t>
      </w:r>
      <w:r xml:space="preserve">
        <w:t> </w:t>
      </w:r>
      <w:r>
        <w:t xml:space="preserve">less than $30,000, if the property is a motor vehicle that is damaged, destroyed, or tampered with during the removal or attempted removal of a catalytic converter from the motor vehicle;</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or</w:t>
      </w:r>
    </w:p>
    <w:p w:rsidR="003F3435" w:rsidRDefault="0032493E">
      <w:pPr>
        <w:spacing w:line="480" w:lineRule="auto"/>
        <w:ind w:firstLine="2160"/>
        <w:jc w:val="both"/>
      </w:pPr>
      <w:r>
        <w:t xml:space="preserve">(D)</w:t>
      </w:r>
      <w:r xml:space="preserve">
        <w:t> </w:t>
      </w:r>
      <w:r xml:space="preserve">
        <w:t> </w:t>
      </w:r>
      <w:r>
        <w:t xml:space="preserve">the amount of pecuniary loss is less than $150,000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public power supply;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power supply;</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offense under this section is a Class A misdemeanor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real property or tangible personal property is owned by the state and functions as a barrier or part of a barrier to prevent travel across the international border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is tampered with to a degree that the actor is able to cause in whole or in part impairment or interruption of the functioning of the barrier, regardless of the amount of pecuniary loss;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pecuniary loss to the property is not more than $2,500.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