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57D" w:rsidRDefault="00C245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25A5BEAD050436680565FDD41BE8EDD"/>
          </w:placeholder>
        </w:sdtPr>
        <w:sdtContent>
          <w:r w:rsidRPr="005C2A78">
            <w:rPr>
              <w:rFonts w:cs="Times New Roman"/>
              <w:b/>
              <w:szCs w:val="24"/>
              <w:u w:val="single"/>
            </w:rPr>
            <w:t>BILL ANALYSIS</w:t>
          </w:r>
        </w:sdtContent>
      </w:sdt>
    </w:p>
    <w:p w:rsidR="00C2457D" w:rsidRPr="00585C31" w:rsidRDefault="00C2457D" w:rsidP="000F1DF9">
      <w:pPr>
        <w:spacing w:after="0" w:line="240" w:lineRule="auto"/>
        <w:rPr>
          <w:rFonts w:cs="Times New Roman"/>
          <w:szCs w:val="24"/>
        </w:rPr>
      </w:pPr>
    </w:p>
    <w:p w:rsidR="00C2457D" w:rsidRPr="00585C31" w:rsidRDefault="00C245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457D" w:rsidTr="0022586D">
        <w:tc>
          <w:tcPr>
            <w:tcW w:w="2718" w:type="dxa"/>
          </w:tcPr>
          <w:p w:rsidR="00C2457D" w:rsidRPr="005C2A78" w:rsidRDefault="00C2457D" w:rsidP="006D756B">
            <w:pPr>
              <w:rPr>
                <w:rFonts w:cs="Times New Roman"/>
                <w:szCs w:val="24"/>
              </w:rPr>
            </w:pPr>
            <w:sdt>
              <w:sdtPr>
                <w:rPr>
                  <w:rFonts w:cs="Times New Roman"/>
                  <w:szCs w:val="24"/>
                </w:rPr>
                <w:alias w:val="Agency Title"/>
                <w:tag w:val="AgencyTitleContentControl"/>
                <w:id w:val="1920747753"/>
                <w:lock w:val="sdtContentLocked"/>
                <w:placeholder>
                  <w:docPart w:val="7494BE744C7345A38DFD800F191C7D48"/>
                </w:placeholder>
              </w:sdtPr>
              <w:sdtEndPr>
                <w:rPr>
                  <w:rFonts w:cstheme="minorBidi"/>
                  <w:szCs w:val="22"/>
                </w:rPr>
              </w:sdtEndPr>
              <w:sdtContent>
                <w:r>
                  <w:rPr>
                    <w:rFonts w:cs="Times New Roman"/>
                    <w:szCs w:val="24"/>
                  </w:rPr>
                  <w:t>Senate Research Center</w:t>
                </w:r>
              </w:sdtContent>
            </w:sdt>
          </w:p>
        </w:tc>
        <w:tc>
          <w:tcPr>
            <w:tcW w:w="6858" w:type="dxa"/>
          </w:tcPr>
          <w:p w:rsidR="00C2457D" w:rsidRPr="00FF6471" w:rsidRDefault="00C2457D" w:rsidP="000F1DF9">
            <w:pPr>
              <w:jc w:val="right"/>
              <w:rPr>
                <w:rFonts w:cs="Times New Roman"/>
                <w:szCs w:val="24"/>
              </w:rPr>
            </w:pPr>
            <w:sdt>
              <w:sdtPr>
                <w:rPr>
                  <w:rFonts w:cs="Times New Roman"/>
                  <w:szCs w:val="24"/>
                </w:rPr>
                <w:alias w:val="Bill Number"/>
                <w:tag w:val="BillNumberOne"/>
                <w:id w:val="-410784069"/>
                <w:lock w:val="sdtContentLocked"/>
                <w:placeholder>
                  <w:docPart w:val="F8C5A911E7CC4541BB22375F82053185"/>
                </w:placeholder>
              </w:sdtPr>
              <w:sdtContent>
                <w:r>
                  <w:rPr>
                    <w:rFonts w:cs="Times New Roman"/>
                    <w:szCs w:val="24"/>
                  </w:rPr>
                  <w:t>H.B. 28</w:t>
                </w:r>
              </w:sdtContent>
            </w:sdt>
          </w:p>
        </w:tc>
      </w:tr>
      <w:tr w:rsidR="00C2457D" w:rsidTr="0022586D">
        <w:tc>
          <w:tcPr>
            <w:tcW w:w="2718" w:type="dxa"/>
          </w:tcPr>
          <w:p w:rsidR="00C2457D" w:rsidRPr="000F1DF9" w:rsidRDefault="00C2457D" w:rsidP="00C65088">
            <w:pPr>
              <w:rPr>
                <w:rFonts w:cs="Times New Roman"/>
                <w:szCs w:val="24"/>
              </w:rPr>
            </w:pPr>
            <w:sdt>
              <w:sdtPr>
                <w:rPr>
                  <w:rFonts w:cs="Times New Roman"/>
                  <w:szCs w:val="24"/>
                </w:rPr>
                <w:alias w:val="TLCNumber"/>
                <w:tag w:val="TLCNumber"/>
                <w:id w:val="-542600604"/>
                <w:lock w:val="sdtLocked"/>
                <w:placeholder>
                  <w:docPart w:val="A158E740B12F4F5C9BE0074FC247A464"/>
                </w:placeholder>
                <w:showingPlcHdr/>
              </w:sdtPr>
              <w:sdtContent/>
            </w:sdt>
            <w:r w:rsidRPr="0022586D">
              <w:rPr>
                <w:rFonts w:cs="Times New Roman"/>
                <w:szCs w:val="24"/>
              </w:rPr>
              <w:t>88R29 TSS-F</w:t>
            </w:r>
          </w:p>
        </w:tc>
        <w:tc>
          <w:tcPr>
            <w:tcW w:w="6858" w:type="dxa"/>
          </w:tcPr>
          <w:p w:rsidR="00C2457D" w:rsidRPr="005C2A78" w:rsidRDefault="00C2457D" w:rsidP="00073EDD">
            <w:pPr>
              <w:jc w:val="right"/>
              <w:rPr>
                <w:rFonts w:cs="Times New Roman"/>
                <w:szCs w:val="24"/>
              </w:rPr>
            </w:pPr>
            <w:sdt>
              <w:sdtPr>
                <w:rPr>
                  <w:rFonts w:cs="Times New Roman"/>
                  <w:szCs w:val="24"/>
                </w:rPr>
                <w:alias w:val="Author Label"/>
                <w:tag w:val="By"/>
                <w:id w:val="72399597"/>
                <w:lock w:val="sdtLocked"/>
                <w:placeholder>
                  <w:docPart w:val="CE719BD9B96B4EBC9A002DDF9CA40A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A965173B8D47EE816B35EE4A168E12"/>
                </w:placeholder>
              </w:sdtPr>
              <w:sdtContent>
                <w:r>
                  <w:rPr>
                    <w:rFonts w:cs="Times New Roman"/>
                    <w:szCs w:val="24"/>
                  </w:rPr>
                  <w:t>Slawson et al.</w:t>
                </w:r>
              </w:sdtContent>
            </w:sdt>
            <w:sdt>
              <w:sdtPr>
                <w:rPr>
                  <w:rFonts w:cs="Times New Roman"/>
                  <w:szCs w:val="24"/>
                </w:rPr>
                <w:alias w:val="Sponsor"/>
                <w:tag w:val="Sponsor"/>
                <w:id w:val="-2039656131"/>
                <w:lock w:val="sdtContentLocked"/>
                <w:placeholder>
                  <w:docPart w:val="28E72C1A5DC24E36846D029793D92634"/>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C9D69FA7F0F2440A826AD0FE5A730976"/>
                </w:placeholder>
                <w:showingPlcHdr/>
              </w:sdtPr>
              <w:sdtContent/>
            </w:sdt>
          </w:p>
        </w:tc>
      </w:tr>
      <w:tr w:rsidR="00C2457D" w:rsidTr="0022586D">
        <w:tc>
          <w:tcPr>
            <w:tcW w:w="2718" w:type="dxa"/>
          </w:tcPr>
          <w:p w:rsidR="00C2457D" w:rsidRPr="00BC7495" w:rsidRDefault="00C2457D" w:rsidP="000F1DF9">
            <w:pPr>
              <w:rPr>
                <w:rFonts w:cs="Times New Roman"/>
                <w:szCs w:val="24"/>
              </w:rPr>
            </w:pPr>
          </w:p>
        </w:tc>
        <w:sdt>
          <w:sdtPr>
            <w:rPr>
              <w:rFonts w:cs="Times New Roman"/>
              <w:szCs w:val="24"/>
            </w:rPr>
            <w:alias w:val="Committee"/>
            <w:tag w:val="Committee"/>
            <w:id w:val="1914272295"/>
            <w:lock w:val="sdtContentLocked"/>
            <w:placeholder>
              <w:docPart w:val="88CCFAE595BF468B84DE6445669FAC38"/>
            </w:placeholder>
          </w:sdtPr>
          <w:sdtContent>
            <w:tc>
              <w:tcPr>
                <w:tcW w:w="6858" w:type="dxa"/>
              </w:tcPr>
              <w:p w:rsidR="00C2457D" w:rsidRPr="00FF6471" w:rsidRDefault="00C2457D" w:rsidP="000F1DF9">
                <w:pPr>
                  <w:jc w:val="right"/>
                  <w:rPr>
                    <w:rFonts w:cs="Times New Roman"/>
                    <w:szCs w:val="24"/>
                  </w:rPr>
                </w:pPr>
                <w:r>
                  <w:rPr>
                    <w:rFonts w:cs="Times New Roman"/>
                    <w:szCs w:val="24"/>
                  </w:rPr>
                  <w:t>Criminal Justice</w:t>
                </w:r>
              </w:p>
            </w:tc>
          </w:sdtContent>
        </w:sdt>
      </w:tr>
      <w:tr w:rsidR="00C2457D" w:rsidTr="0022586D">
        <w:tc>
          <w:tcPr>
            <w:tcW w:w="2718" w:type="dxa"/>
          </w:tcPr>
          <w:p w:rsidR="00C2457D" w:rsidRPr="00BC7495" w:rsidRDefault="00C2457D" w:rsidP="000F1DF9">
            <w:pPr>
              <w:rPr>
                <w:rFonts w:cs="Times New Roman"/>
                <w:szCs w:val="24"/>
              </w:rPr>
            </w:pPr>
          </w:p>
        </w:tc>
        <w:sdt>
          <w:sdtPr>
            <w:rPr>
              <w:rFonts w:cs="Times New Roman"/>
              <w:szCs w:val="24"/>
            </w:rPr>
            <w:alias w:val="Date"/>
            <w:tag w:val="DateContentControl"/>
            <w:id w:val="1178081906"/>
            <w:lock w:val="sdtLocked"/>
            <w:placeholder>
              <w:docPart w:val="CC4D216FF5404415AA3099B7E6BDBD93"/>
            </w:placeholder>
            <w:date w:fullDate="2023-05-04T00:00:00Z">
              <w:dateFormat w:val="M/d/yyyy"/>
              <w:lid w:val="en-US"/>
              <w:storeMappedDataAs w:val="dateTime"/>
              <w:calendar w:val="gregorian"/>
            </w:date>
          </w:sdtPr>
          <w:sdtContent>
            <w:tc>
              <w:tcPr>
                <w:tcW w:w="6858" w:type="dxa"/>
              </w:tcPr>
              <w:p w:rsidR="00C2457D" w:rsidRPr="00FF6471" w:rsidRDefault="00C2457D" w:rsidP="000F1DF9">
                <w:pPr>
                  <w:jc w:val="right"/>
                  <w:rPr>
                    <w:rFonts w:cs="Times New Roman"/>
                    <w:szCs w:val="24"/>
                  </w:rPr>
                </w:pPr>
                <w:r>
                  <w:rPr>
                    <w:rFonts w:cs="Times New Roman"/>
                    <w:szCs w:val="24"/>
                  </w:rPr>
                  <w:t>5/4/2023</w:t>
                </w:r>
              </w:p>
            </w:tc>
          </w:sdtContent>
        </w:sdt>
      </w:tr>
      <w:tr w:rsidR="00C2457D" w:rsidTr="0022586D">
        <w:tc>
          <w:tcPr>
            <w:tcW w:w="2718" w:type="dxa"/>
          </w:tcPr>
          <w:p w:rsidR="00C2457D" w:rsidRPr="00BC7495" w:rsidRDefault="00C2457D" w:rsidP="000F1DF9">
            <w:pPr>
              <w:rPr>
                <w:rFonts w:cs="Times New Roman"/>
                <w:szCs w:val="24"/>
              </w:rPr>
            </w:pPr>
          </w:p>
        </w:tc>
        <w:sdt>
          <w:sdtPr>
            <w:rPr>
              <w:rFonts w:cs="Times New Roman"/>
              <w:szCs w:val="24"/>
            </w:rPr>
            <w:alias w:val="BA Version"/>
            <w:tag w:val="BAVersion"/>
            <w:id w:val="-1685590809"/>
            <w:lock w:val="sdtContentLocked"/>
            <w:placeholder>
              <w:docPart w:val="E36996E5E91D426694DD577B092FDACB"/>
            </w:placeholder>
          </w:sdtPr>
          <w:sdtContent>
            <w:tc>
              <w:tcPr>
                <w:tcW w:w="6858" w:type="dxa"/>
              </w:tcPr>
              <w:p w:rsidR="00C2457D" w:rsidRPr="00FF6471" w:rsidRDefault="00C2457D" w:rsidP="000F1DF9">
                <w:pPr>
                  <w:jc w:val="right"/>
                  <w:rPr>
                    <w:rFonts w:cs="Times New Roman"/>
                    <w:szCs w:val="24"/>
                  </w:rPr>
                </w:pPr>
                <w:r>
                  <w:rPr>
                    <w:rFonts w:cs="Times New Roman"/>
                    <w:szCs w:val="24"/>
                  </w:rPr>
                  <w:t>Engrossed</w:t>
                </w:r>
              </w:p>
            </w:tc>
          </w:sdtContent>
        </w:sdt>
      </w:tr>
    </w:tbl>
    <w:p w:rsidR="00C2457D" w:rsidRPr="00FF6471" w:rsidRDefault="00C2457D" w:rsidP="000F1DF9">
      <w:pPr>
        <w:spacing w:after="0" w:line="240" w:lineRule="auto"/>
        <w:rPr>
          <w:rFonts w:cs="Times New Roman"/>
          <w:szCs w:val="24"/>
        </w:rPr>
      </w:pPr>
    </w:p>
    <w:p w:rsidR="00C2457D" w:rsidRPr="00FF6471" w:rsidRDefault="00C2457D" w:rsidP="000F1DF9">
      <w:pPr>
        <w:spacing w:after="0" w:line="240" w:lineRule="auto"/>
        <w:rPr>
          <w:rFonts w:cs="Times New Roman"/>
          <w:szCs w:val="24"/>
        </w:rPr>
      </w:pPr>
    </w:p>
    <w:p w:rsidR="00C2457D" w:rsidRPr="00FF6471" w:rsidRDefault="00C245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6CF70133164F61963C96A9A670725F"/>
        </w:placeholder>
      </w:sdtPr>
      <w:sdtContent>
        <w:p w:rsidR="00C2457D" w:rsidRDefault="00C245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3A28C2B5AF74A2EB42795F1630E87D9"/>
        </w:placeholder>
      </w:sdtPr>
      <w:sdtContent>
        <w:p w:rsidR="00C2457D" w:rsidRDefault="00C2457D" w:rsidP="00FC5458">
          <w:pPr>
            <w:pStyle w:val="NormalWeb"/>
            <w:spacing w:before="0" w:beforeAutospacing="0" w:after="0" w:afterAutospacing="0"/>
            <w:jc w:val="both"/>
            <w:divId w:val="287400381"/>
          </w:pPr>
        </w:p>
        <w:p w:rsidR="00C2457D" w:rsidRPr="00FC5458" w:rsidRDefault="00C2457D" w:rsidP="00FC5458">
          <w:pPr>
            <w:pStyle w:val="NormalWeb"/>
            <w:spacing w:before="0" w:beforeAutospacing="0" w:after="0" w:afterAutospacing="0"/>
            <w:jc w:val="both"/>
            <w:divId w:val="287400381"/>
            <w:rPr>
              <w:rFonts w:eastAsia="Times New Roman"/>
              <w:bCs/>
            </w:rPr>
          </w:pPr>
          <w:r w:rsidRPr="00FC5458">
            <w:t>Currently in statute, if the victim and perpetrator did not have a prior established relationship</w:t>
          </w:r>
          <w:r>
            <w:t xml:space="preserve">, </w:t>
          </w:r>
          <w:r w:rsidRPr="00FC5458">
            <w:t>the penalty for aggravated assault resulting in paralysis or a persistent vegetative state is a second degree felony. Due to the severity of the offense, an aggravated assault in which the actor uses a deadly weapon and causes a traumatic injury resulting in paralysis or a persistent vegetative state to a victim commands a more stringent penalty.</w:t>
          </w:r>
        </w:p>
        <w:p w:rsidR="00C2457D" w:rsidRDefault="00C2457D" w:rsidP="00FC5458">
          <w:pPr>
            <w:pStyle w:val="NormalWeb"/>
            <w:spacing w:before="0" w:beforeAutospacing="0" w:after="0" w:afterAutospacing="0"/>
            <w:jc w:val="both"/>
            <w:divId w:val="287400381"/>
          </w:pPr>
        </w:p>
        <w:p w:rsidR="00C2457D" w:rsidRPr="00FC5458" w:rsidRDefault="00C2457D" w:rsidP="00FC5458">
          <w:pPr>
            <w:pStyle w:val="NormalWeb"/>
            <w:spacing w:before="0" w:beforeAutospacing="0" w:after="0" w:afterAutospacing="0"/>
            <w:jc w:val="both"/>
            <w:divId w:val="287400381"/>
          </w:pPr>
          <w:r w:rsidRPr="00FC5458">
            <w:t xml:space="preserve">A first degree felony is punishable by confinement in prison for life or a term from </w:t>
          </w:r>
          <w:r>
            <w:t>five</w:t>
          </w:r>
          <w:r w:rsidRPr="00FC5458">
            <w:t xml:space="preserve"> to </w:t>
          </w:r>
          <w:r>
            <w:t>ninety-nine</w:t>
          </w:r>
          <w:r w:rsidRPr="00FC5458">
            <w:t xml:space="preserve"> years and, in addition to confinement, an optional fine not to exceed $10,000. A second degree felony is punishable by confinement in prison for a term from </w:t>
          </w:r>
          <w:r>
            <w:t>two</w:t>
          </w:r>
          <w:r w:rsidRPr="00FC5458">
            <w:t xml:space="preserve"> to </w:t>
          </w:r>
          <w:r>
            <w:t>twenty</w:t>
          </w:r>
          <w:r w:rsidRPr="00FC5458">
            <w:t xml:space="preserve"> years and, in addition to confinement, an optional fine not to exceed $10,000.</w:t>
          </w:r>
        </w:p>
        <w:p w:rsidR="00C2457D" w:rsidRDefault="00C2457D" w:rsidP="00FC5458">
          <w:pPr>
            <w:pStyle w:val="NormalWeb"/>
            <w:spacing w:before="0" w:beforeAutospacing="0" w:after="0" w:afterAutospacing="0"/>
            <w:jc w:val="both"/>
            <w:divId w:val="287400381"/>
          </w:pPr>
        </w:p>
        <w:p w:rsidR="00C2457D" w:rsidRPr="00FC5458" w:rsidRDefault="00C2457D" w:rsidP="00FC5458">
          <w:pPr>
            <w:pStyle w:val="NormalWeb"/>
            <w:spacing w:before="0" w:beforeAutospacing="0" w:after="0" w:afterAutospacing="0"/>
            <w:jc w:val="both"/>
            <w:divId w:val="287400381"/>
          </w:pPr>
          <w:r w:rsidRPr="00FC5458">
            <w:t>Two Erath County constituents were victims of aggravated assault and sustained traumatic injuries that resulted in paralysis. Neither had any relationship with their attackers, thus the district attorney in each case was statutorily limited in their ability to charge the assailant to only a second degree felony. This lack of prosecutorial authority resulted in far too short of a sentence for the perpetrators of these horrific crimes and created immense suffering for the victims and their families.</w:t>
          </w:r>
        </w:p>
        <w:p w:rsidR="00C2457D" w:rsidRDefault="00C2457D" w:rsidP="00FC5458">
          <w:pPr>
            <w:pStyle w:val="NormalWeb"/>
            <w:spacing w:before="0" w:beforeAutospacing="0" w:after="0" w:afterAutospacing="0"/>
            <w:jc w:val="both"/>
            <w:divId w:val="287400381"/>
          </w:pPr>
        </w:p>
        <w:p w:rsidR="00C2457D" w:rsidRPr="00FC5458" w:rsidRDefault="00C2457D" w:rsidP="00FC5458">
          <w:pPr>
            <w:pStyle w:val="NormalWeb"/>
            <w:spacing w:before="0" w:beforeAutospacing="0" w:after="0" w:afterAutospacing="0"/>
            <w:jc w:val="both"/>
            <w:divId w:val="287400381"/>
          </w:pPr>
          <w:r w:rsidRPr="00FC5458">
            <w:t>H</w:t>
          </w:r>
          <w:r>
            <w:t>.</w:t>
          </w:r>
          <w:r w:rsidRPr="00FC5458">
            <w:t>B</w:t>
          </w:r>
          <w:r>
            <w:t>.</w:t>
          </w:r>
          <w:r w:rsidRPr="00FC5458">
            <w:t xml:space="preserve"> 28 amends the Penal Code to enhance the penalty for aggravated assault from a second degree felony to a first degree felony if the actor uses a deadly weapon during an assault and causes a traumatic brain or spine injury to another that results in a persistent vegetative state or irreversible paralysis.</w:t>
          </w:r>
        </w:p>
        <w:p w:rsidR="00C2457D" w:rsidRPr="00D70925" w:rsidRDefault="00C2457D" w:rsidP="00FC5458">
          <w:pPr>
            <w:spacing w:after="0" w:line="240" w:lineRule="auto"/>
            <w:jc w:val="both"/>
            <w:rPr>
              <w:rFonts w:eastAsia="Times New Roman" w:cs="Times New Roman"/>
              <w:bCs/>
              <w:szCs w:val="24"/>
            </w:rPr>
          </w:pPr>
        </w:p>
      </w:sdtContent>
    </w:sdt>
    <w:p w:rsidR="00C2457D" w:rsidRDefault="00C245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 </w:t>
      </w:r>
      <w:bookmarkStart w:id="1" w:name="AmendsCurrentLaw"/>
      <w:bookmarkEnd w:id="1"/>
      <w:r>
        <w:rPr>
          <w:rFonts w:cs="Times New Roman"/>
          <w:szCs w:val="24"/>
        </w:rPr>
        <w:t>amends current law relating to enhancing the punishment for certain conduct constituting the criminal offense of aggravated assault.</w:t>
      </w:r>
    </w:p>
    <w:p w:rsidR="00C2457D" w:rsidRPr="0022586D" w:rsidRDefault="00C2457D" w:rsidP="000F1DF9">
      <w:pPr>
        <w:spacing w:after="0" w:line="240" w:lineRule="auto"/>
        <w:jc w:val="both"/>
        <w:rPr>
          <w:rFonts w:eastAsia="Times New Roman" w:cs="Times New Roman"/>
          <w:szCs w:val="24"/>
        </w:rPr>
      </w:pPr>
    </w:p>
    <w:p w:rsidR="00C2457D" w:rsidRPr="005C2A78" w:rsidRDefault="00C245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35A06178FC44FD979078384E30AE14"/>
          </w:placeholder>
        </w:sdtPr>
        <w:sdtContent>
          <w:r>
            <w:rPr>
              <w:rFonts w:eastAsia="Times New Roman" w:cs="Times New Roman"/>
              <w:b/>
              <w:szCs w:val="24"/>
              <w:u w:val="single"/>
            </w:rPr>
            <w:t>RULEMAKING AUTHORITY</w:t>
          </w:r>
        </w:sdtContent>
      </w:sdt>
    </w:p>
    <w:p w:rsidR="00C2457D" w:rsidRPr="006529C4" w:rsidRDefault="00C2457D" w:rsidP="00774EC7">
      <w:pPr>
        <w:spacing w:after="0" w:line="240" w:lineRule="auto"/>
        <w:jc w:val="both"/>
        <w:rPr>
          <w:rFonts w:cs="Times New Roman"/>
          <w:szCs w:val="24"/>
        </w:rPr>
      </w:pPr>
    </w:p>
    <w:p w:rsidR="00C2457D" w:rsidRPr="006529C4" w:rsidRDefault="00C245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457D" w:rsidRPr="006529C4" w:rsidRDefault="00C2457D" w:rsidP="00774EC7">
      <w:pPr>
        <w:spacing w:after="0" w:line="240" w:lineRule="auto"/>
        <w:jc w:val="both"/>
        <w:rPr>
          <w:rFonts w:cs="Times New Roman"/>
          <w:szCs w:val="24"/>
        </w:rPr>
      </w:pPr>
    </w:p>
    <w:p w:rsidR="00C2457D" w:rsidRPr="005C2A78" w:rsidRDefault="00C2457D" w:rsidP="00FB49A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6B81A3E53542B6BDE2E8DE57523F8F"/>
          </w:placeholder>
        </w:sdtPr>
        <w:sdtContent>
          <w:r>
            <w:rPr>
              <w:rFonts w:eastAsia="Times New Roman" w:cs="Times New Roman"/>
              <w:b/>
              <w:szCs w:val="24"/>
              <w:u w:val="single"/>
            </w:rPr>
            <w:t>SECTION BY SECTION ANALYSIS</w:t>
          </w:r>
        </w:sdtContent>
      </w:sdt>
    </w:p>
    <w:p w:rsidR="00C2457D" w:rsidRPr="005C2A78" w:rsidRDefault="00C2457D" w:rsidP="00FB49A1">
      <w:pPr>
        <w:spacing w:after="0" w:line="240" w:lineRule="auto"/>
        <w:jc w:val="both"/>
        <w:rPr>
          <w:rFonts w:eastAsia="Times New Roman" w:cs="Times New Roman"/>
          <w:szCs w:val="24"/>
        </w:rPr>
      </w:pPr>
    </w:p>
    <w:p w:rsidR="00C2457D" w:rsidRPr="005C2A78" w:rsidRDefault="00C2457D" w:rsidP="00FB49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w:t>
      </w:r>
      <w:r>
        <w:t>as the Todd-Hogland Act.</w:t>
      </w:r>
      <w:r>
        <w:rPr>
          <w:rFonts w:eastAsia="Times New Roman" w:cs="Times New Roman"/>
          <w:szCs w:val="24"/>
        </w:rPr>
        <w:t xml:space="preserve"> </w:t>
      </w:r>
    </w:p>
    <w:p w:rsidR="00C2457D" w:rsidRPr="005C2A78" w:rsidRDefault="00C2457D" w:rsidP="00FB49A1">
      <w:pPr>
        <w:spacing w:after="0" w:line="240" w:lineRule="auto"/>
        <w:jc w:val="both"/>
        <w:rPr>
          <w:rFonts w:eastAsia="Times New Roman" w:cs="Times New Roman"/>
          <w:szCs w:val="24"/>
        </w:rPr>
      </w:pPr>
    </w:p>
    <w:p w:rsidR="00C2457D" w:rsidRDefault="00C2457D" w:rsidP="00FB49A1">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22.02(b), Penal Code, to provide that an offense under Section 22.02 (Aggravated Assault) is a felony of the second degree, except that the offense is a felony of the first degree if the actor uses a deadly weapon during the commission of the assault and causes a traumatic brain or spine injury to another that results in a persistent vegetative state or irreversible paralysis. Makes nonsubstantive changes.</w:t>
      </w:r>
    </w:p>
    <w:p w:rsidR="00C2457D" w:rsidRDefault="00C2457D" w:rsidP="00FB49A1">
      <w:pPr>
        <w:spacing w:after="0" w:line="240" w:lineRule="auto"/>
        <w:jc w:val="both"/>
      </w:pPr>
    </w:p>
    <w:p w:rsidR="00C2457D" w:rsidRPr="00F809CF" w:rsidRDefault="00C2457D" w:rsidP="00FB49A1">
      <w:pPr>
        <w:spacing w:after="0" w:line="240" w:lineRule="auto"/>
        <w:jc w:val="both"/>
      </w:pPr>
      <w:r>
        <w:t xml:space="preserve">SECTION 3. Makes application of this Act prospective. </w:t>
      </w:r>
    </w:p>
    <w:p w:rsidR="00C2457D" w:rsidRPr="005C2A78" w:rsidRDefault="00C2457D" w:rsidP="00FB49A1">
      <w:pPr>
        <w:spacing w:after="0" w:line="240" w:lineRule="auto"/>
        <w:jc w:val="both"/>
        <w:rPr>
          <w:rFonts w:eastAsia="Times New Roman" w:cs="Times New Roman"/>
          <w:szCs w:val="24"/>
        </w:rPr>
      </w:pPr>
    </w:p>
    <w:p w:rsidR="00C2457D" w:rsidRPr="00C8671F" w:rsidRDefault="00C2457D" w:rsidP="00FB49A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C2457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9AF" w:rsidRDefault="00FE69AF" w:rsidP="000F1DF9">
      <w:pPr>
        <w:spacing w:after="0" w:line="240" w:lineRule="auto"/>
      </w:pPr>
      <w:r>
        <w:separator/>
      </w:r>
    </w:p>
  </w:endnote>
  <w:endnote w:type="continuationSeparator" w:id="0">
    <w:p w:rsidR="00FE69AF" w:rsidRDefault="00FE69A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E69A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457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457D">
                <w:rPr>
                  <w:sz w:val="20"/>
                  <w:szCs w:val="20"/>
                </w:rPr>
                <w:t>H.B. 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45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E69A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9AF" w:rsidRDefault="00FE69AF" w:rsidP="000F1DF9">
      <w:pPr>
        <w:spacing w:after="0" w:line="240" w:lineRule="auto"/>
      </w:pPr>
      <w:r>
        <w:separator/>
      </w:r>
    </w:p>
  </w:footnote>
  <w:footnote w:type="continuationSeparator" w:id="0">
    <w:p w:rsidR="00FE69AF" w:rsidRDefault="00FE69A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457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E69AF"/>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60BBD"/>
  <w15:docId w15:val="{36082A10-88F2-4057-96EE-60C28EF4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45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25A5BEAD050436680565FDD41BE8EDD"/>
        <w:category>
          <w:name w:val="General"/>
          <w:gallery w:val="placeholder"/>
        </w:category>
        <w:types>
          <w:type w:val="bbPlcHdr"/>
        </w:types>
        <w:behaviors>
          <w:behavior w:val="content"/>
        </w:behaviors>
        <w:guid w:val="{CD4AC82B-B8F9-43D8-9128-04423D833DA8}"/>
      </w:docPartPr>
      <w:docPartBody>
        <w:p w:rsidR="00000000" w:rsidRDefault="00C8682C"/>
      </w:docPartBody>
    </w:docPart>
    <w:docPart>
      <w:docPartPr>
        <w:name w:val="7494BE744C7345A38DFD800F191C7D48"/>
        <w:category>
          <w:name w:val="General"/>
          <w:gallery w:val="placeholder"/>
        </w:category>
        <w:types>
          <w:type w:val="bbPlcHdr"/>
        </w:types>
        <w:behaviors>
          <w:behavior w:val="content"/>
        </w:behaviors>
        <w:guid w:val="{4DE58E35-7FBD-4AC5-81F5-8DFED59A39C8}"/>
      </w:docPartPr>
      <w:docPartBody>
        <w:p w:rsidR="00000000" w:rsidRDefault="00C8682C"/>
      </w:docPartBody>
    </w:docPart>
    <w:docPart>
      <w:docPartPr>
        <w:name w:val="F8C5A911E7CC4541BB22375F82053185"/>
        <w:category>
          <w:name w:val="General"/>
          <w:gallery w:val="placeholder"/>
        </w:category>
        <w:types>
          <w:type w:val="bbPlcHdr"/>
        </w:types>
        <w:behaviors>
          <w:behavior w:val="content"/>
        </w:behaviors>
        <w:guid w:val="{87BC98A6-CB4B-4775-AA0C-923670A7C4FE}"/>
      </w:docPartPr>
      <w:docPartBody>
        <w:p w:rsidR="00000000" w:rsidRDefault="00C8682C"/>
      </w:docPartBody>
    </w:docPart>
    <w:docPart>
      <w:docPartPr>
        <w:name w:val="A158E740B12F4F5C9BE0074FC247A464"/>
        <w:category>
          <w:name w:val="General"/>
          <w:gallery w:val="placeholder"/>
        </w:category>
        <w:types>
          <w:type w:val="bbPlcHdr"/>
        </w:types>
        <w:behaviors>
          <w:behavior w:val="content"/>
        </w:behaviors>
        <w:guid w:val="{83917887-DE31-4AB0-9482-B5085C766127}"/>
      </w:docPartPr>
      <w:docPartBody>
        <w:p w:rsidR="00000000" w:rsidRDefault="00C8682C"/>
      </w:docPartBody>
    </w:docPart>
    <w:docPart>
      <w:docPartPr>
        <w:name w:val="CE719BD9B96B4EBC9A002DDF9CA40AFE"/>
        <w:category>
          <w:name w:val="General"/>
          <w:gallery w:val="placeholder"/>
        </w:category>
        <w:types>
          <w:type w:val="bbPlcHdr"/>
        </w:types>
        <w:behaviors>
          <w:behavior w:val="content"/>
        </w:behaviors>
        <w:guid w:val="{7091DCF3-80B9-42D7-AE63-7C51384DA735}"/>
      </w:docPartPr>
      <w:docPartBody>
        <w:p w:rsidR="00000000" w:rsidRDefault="00C8682C"/>
      </w:docPartBody>
    </w:docPart>
    <w:docPart>
      <w:docPartPr>
        <w:name w:val="C5A965173B8D47EE816B35EE4A168E12"/>
        <w:category>
          <w:name w:val="General"/>
          <w:gallery w:val="placeholder"/>
        </w:category>
        <w:types>
          <w:type w:val="bbPlcHdr"/>
        </w:types>
        <w:behaviors>
          <w:behavior w:val="content"/>
        </w:behaviors>
        <w:guid w:val="{EE35FA3B-D974-4CBE-A0CF-D6FC875BEA95}"/>
      </w:docPartPr>
      <w:docPartBody>
        <w:p w:rsidR="00000000" w:rsidRDefault="00C8682C"/>
      </w:docPartBody>
    </w:docPart>
    <w:docPart>
      <w:docPartPr>
        <w:name w:val="28E72C1A5DC24E36846D029793D92634"/>
        <w:category>
          <w:name w:val="General"/>
          <w:gallery w:val="placeholder"/>
        </w:category>
        <w:types>
          <w:type w:val="bbPlcHdr"/>
        </w:types>
        <w:behaviors>
          <w:behavior w:val="content"/>
        </w:behaviors>
        <w:guid w:val="{31946FC6-C83C-41EA-B76A-E34B4EFB38C1}"/>
      </w:docPartPr>
      <w:docPartBody>
        <w:p w:rsidR="00000000" w:rsidRDefault="00C8682C"/>
      </w:docPartBody>
    </w:docPart>
    <w:docPart>
      <w:docPartPr>
        <w:name w:val="C9D69FA7F0F2440A826AD0FE5A730976"/>
        <w:category>
          <w:name w:val="General"/>
          <w:gallery w:val="placeholder"/>
        </w:category>
        <w:types>
          <w:type w:val="bbPlcHdr"/>
        </w:types>
        <w:behaviors>
          <w:behavior w:val="content"/>
        </w:behaviors>
        <w:guid w:val="{8A843260-1662-4B9F-985E-35800739556E}"/>
      </w:docPartPr>
      <w:docPartBody>
        <w:p w:rsidR="00000000" w:rsidRDefault="00C8682C"/>
      </w:docPartBody>
    </w:docPart>
    <w:docPart>
      <w:docPartPr>
        <w:name w:val="88CCFAE595BF468B84DE6445669FAC38"/>
        <w:category>
          <w:name w:val="General"/>
          <w:gallery w:val="placeholder"/>
        </w:category>
        <w:types>
          <w:type w:val="bbPlcHdr"/>
        </w:types>
        <w:behaviors>
          <w:behavior w:val="content"/>
        </w:behaviors>
        <w:guid w:val="{D7A9226E-B376-4595-9895-162709700DEA}"/>
      </w:docPartPr>
      <w:docPartBody>
        <w:p w:rsidR="00000000" w:rsidRDefault="00C8682C"/>
      </w:docPartBody>
    </w:docPart>
    <w:docPart>
      <w:docPartPr>
        <w:name w:val="CC4D216FF5404415AA3099B7E6BDBD93"/>
        <w:category>
          <w:name w:val="General"/>
          <w:gallery w:val="placeholder"/>
        </w:category>
        <w:types>
          <w:type w:val="bbPlcHdr"/>
        </w:types>
        <w:behaviors>
          <w:behavior w:val="content"/>
        </w:behaviors>
        <w:guid w:val="{DEF7AD6A-58A4-4A7E-8DC9-2E70DB53F0BE}"/>
      </w:docPartPr>
      <w:docPartBody>
        <w:p w:rsidR="00000000" w:rsidRDefault="00584671" w:rsidP="00584671">
          <w:pPr>
            <w:pStyle w:val="CC4D216FF5404415AA3099B7E6BDBD93"/>
          </w:pPr>
          <w:r w:rsidRPr="00A30DD1">
            <w:rPr>
              <w:rStyle w:val="PlaceholderText"/>
            </w:rPr>
            <w:t>Click here to enter a date.</w:t>
          </w:r>
        </w:p>
      </w:docPartBody>
    </w:docPart>
    <w:docPart>
      <w:docPartPr>
        <w:name w:val="E36996E5E91D426694DD577B092FDACB"/>
        <w:category>
          <w:name w:val="General"/>
          <w:gallery w:val="placeholder"/>
        </w:category>
        <w:types>
          <w:type w:val="bbPlcHdr"/>
        </w:types>
        <w:behaviors>
          <w:behavior w:val="content"/>
        </w:behaviors>
        <w:guid w:val="{31CE6251-6337-4759-BCE7-01D57ADA19BE}"/>
      </w:docPartPr>
      <w:docPartBody>
        <w:p w:rsidR="00000000" w:rsidRDefault="00C8682C"/>
      </w:docPartBody>
    </w:docPart>
    <w:docPart>
      <w:docPartPr>
        <w:name w:val="E46CF70133164F61963C96A9A670725F"/>
        <w:category>
          <w:name w:val="General"/>
          <w:gallery w:val="placeholder"/>
        </w:category>
        <w:types>
          <w:type w:val="bbPlcHdr"/>
        </w:types>
        <w:behaviors>
          <w:behavior w:val="content"/>
        </w:behaviors>
        <w:guid w:val="{3683B1AF-D7F8-4AF7-8D88-4A9B09E2F4AA}"/>
      </w:docPartPr>
      <w:docPartBody>
        <w:p w:rsidR="00000000" w:rsidRDefault="00C8682C"/>
      </w:docPartBody>
    </w:docPart>
    <w:docPart>
      <w:docPartPr>
        <w:name w:val="E3A28C2B5AF74A2EB42795F1630E87D9"/>
        <w:category>
          <w:name w:val="General"/>
          <w:gallery w:val="placeholder"/>
        </w:category>
        <w:types>
          <w:type w:val="bbPlcHdr"/>
        </w:types>
        <w:behaviors>
          <w:behavior w:val="content"/>
        </w:behaviors>
        <w:guid w:val="{C2181EC2-46BF-4235-A679-DEAB7AC3EB33}"/>
      </w:docPartPr>
      <w:docPartBody>
        <w:p w:rsidR="00000000" w:rsidRDefault="00584671" w:rsidP="00584671">
          <w:pPr>
            <w:pStyle w:val="E3A28C2B5AF74A2EB42795F1630E87D9"/>
          </w:pPr>
          <w:r>
            <w:rPr>
              <w:rFonts w:eastAsia="Times New Roman" w:cs="Times New Roman"/>
              <w:bCs/>
              <w:szCs w:val="24"/>
            </w:rPr>
            <w:t xml:space="preserve"> </w:t>
          </w:r>
        </w:p>
      </w:docPartBody>
    </w:docPart>
    <w:docPart>
      <w:docPartPr>
        <w:name w:val="7435A06178FC44FD979078384E30AE14"/>
        <w:category>
          <w:name w:val="General"/>
          <w:gallery w:val="placeholder"/>
        </w:category>
        <w:types>
          <w:type w:val="bbPlcHdr"/>
        </w:types>
        <w:behaviors>
          <w:behavior w:val="content"/>
        </w:behaviors>
        <w:guid w:val="{7A40CDBB-0800-446E-859B-C3DE99DDF91A}"/>
      </w:docPartPr>
      <w:docPartBody>
        <w:p w:rsidR="00000000" w:rsidRDefault="00C8682C"/>
      </w:docPartBody>
    </w:docPart>
    <w:docPart>
      <w:docPartPr>
        <w:name w:val="FE6B81A3E53542B6BDE2E8DE57523F8F"/>
        <w:category>
          <w:name w:val="General"/>
          <w:gallery w:val="placeholder"/>
        </w:category>
        <w:types>
          <w:type w:val="bbPlcHdr"/>
        </w:types>
        <w:behaviors>
          <w:behavior w:val="content"/>
        </w:behaviors>
        <w:guid w:val="{0C3A6C09-60A4-4BA6-820B-E7FA754C1A6E}"/>
      </w:docPartPr>
      <w:docPartBody>
        <w:p w:rsidR="00000000" w:rsidRDefault="00C86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8467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682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671"/>
    <w:rPr>
      <w:color w:val="808080"/>
    </w:rPr>
  </w:style>
  <w:style w:type="paragraph" w:customStyle="1" w:styleId="CC4D216FF5404415AA3099B7E6BDBD93">
    <w:name w:val="CC4D216FF5404415AA3099B7E6BDBD93"/>
    <w:rsid w:val="00584671"/>
    <w:pPr>
      <w:spacing w:after="160" w:line="259" w:lineRule="auto"/>
    </w:pPr>
  </w:style>
  <w:style w:type="paragraph" w:customStyle="1" w:styleId="E3A28C2B5AF74A2EB42795F1630E87D9">
    <w:name w:val="E3A28C2B5AF74A2EB42795F1630E87D9"/>
    <w:rsid w:val="005846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410</Words>
  <Characters>2337</Characters>
  <Application>Microsoft Office Word</Application>
  <DocSecurity>0</DocSecurity>
  <Lines>19</Lines>
  <Paragraphs>5</Paragraphs>
  <ScaleCrop>false</ScaleCrop>
  <Company>Texas Legislative Council</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2023-05-05T15:44:00Z</dcterms:modified>
</cp:coreProperties>
</file>

<file path=docProps/custom.xml><?xml version="1.0" encoding="utf-8"?>
<op:Properties xmlns:vt="http://schemas.openxmlformats.org/officeDocument/2006/docPropsVTypes" xmlns:op="http://schemas.openxmlformats.org/officeDocument/2006/custom-properties"/>
</file>