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E6EA7" w14:paraId="5F440FE5" w14:textId="77777777" w:rsidTr="00345119">
        <w:tc>
          <w:tcPr>
            <w:tcW w:w="9576" w:type="dxa"/>
            <w:noWrap/>
          </w:tcPr>
          <w:p w14:paraId="0127646B" w14:textId="77777777" w:rsidR="008423E4" w:rsidRPr="0022177D" w:rsidRDefault="00C0214B" w:rsidP="001A4A38">
            <w:pPr>
              <w:pStyle w:val="Heading1"/>
            </w:pPr>
            <w:r w:rsidRPr="00631897">
              <w:t>BILL ANALYSIS</w:t>
            </w:r>
          </w:p>
        </w:tc>
      </w:tr>
    </w:tbl>
    <w:p w14:paraId="5122B8C8" w14:textId="77777777" w:rsidR="008423E4" w:rsidRPr="0022177D" w:rsidRDefault="008423E4" w:rsidP="001A4A38">
      <w:pPr>
        <w:jc w:val="center"/>
      </w:pPr>
    </w:p>
    <w:p w14:paraId="3C17A7E0" w14:textId="77777777" w:rsidR="008423E4" w:rsidRPr="00B31F0E" w:rsidRDefault="008423E4" w:rsidP="001A4A38"/>
    <w:p w14:paraId="72900055" w14:textId="77777777" w:rsidR="008423E4" w:rsidRPr="00742794" w:rsidRDefault="008423E4" w:rsidP="001A4A3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E6EA7" w14:paraId="0714D123" w14:textId="77777777" w:rsidTr="00345119">
        <w:tc>
          <w:tcPr>
            <w:tcW w:w="9576" w:type="dxa"/>
          </w:tcPr>
          <w:p w14:paraId="1969B36B" w14:textId="1C3632DB" w:rsidR="008423E4" w:rsidRPr="00861995" w:rsidRDefault="00C0214B" w:rsidP="001A4A38">
            <w:pPr>
              <w:jc w:val="right"/>
            </w:pPr>
            <w:r>
              <w:t>C.S.H.B. 81</w:t>
            </w:r>
          </w:p>
        </w:tc>
      </w:tr>
      <w:tr w:rsidR="00CE6EA7" w14:paraId="785DBEA2" w14:textId="77777777" w:rsidTr="00345119">
        <w:tc>
          <w:tcPr>
            <w:tcW w:w="9576" w:type="dxa"/>
          </w:tcPr>
          <w:p w14:paraId="44A7E735" w14:textId="26FC6FFA" w:rsidR="008423E4" w:rsidRPr="00861995" w:rsidRDefault="00C0214B" w:rsidP="001A4A38">
            <w:pPr>
              <w:jc w:val="right"/>
            </w:pPr>
            <w:r>
              <w:t xml:space="preserve">By: </w:t>
            </w:r>
            <w:r w:rsidR="00490E4F">
              <w:t>Harrison</w:t>
            </w:r>
          </w:p>
        </w:tc>
      </w:tr>
      <w:tr w:rsidR="00CE6EA7" w14:paraId="761B6540" w14:textId="77777777" w:rsidTr="00345119">
        <w:tc>
          <w:tcPr>
            <w:tcW w:w="9576" w:type="dxa"/>
          </w:tcPr>
          <w:p w14:paraId="3F6739A6" w14:textId="5AF6C30E" w:rsidR="008423E4" w:rsidRPr="00861995" w:rsidRDefault="00C0214B" w:rsidP="001A4A38">
            <w:pPr>
              <w:jc w:val="right"/>
            </w:pPr>
            <w:r>
              <w:t>Public Health</w:t>
            </w:r>
          </w:p>
        </w:tc>
      </w:tr>
      <w:tr w:rsidR="00CE6EA7" w14:paraId="1BB98882" w14:textId="77777777" w:rsidTr="00345119">
        <w:tc>
          <w:tcPr>
            <w:tcW w:w="9576" w:type="dxa"/>
          </w:tcPr>
          <w:p w14:paraId="14084130" w14:textId="7E200245" w:rsidR="008423E4" w:rsidRDefault="00C0214B" w:rsidP="001A4A38">
            <w:pPr>
              <w:jc w:val="right"/>
            </w:pPr>
            <w:r>
              <w:t>Committee Report (Substituted)</w:t>
            </w:r>
          </w:p>
        </w:tc>
      </w:tr>
    </w:tbl>
    <w:p w14:paraId="37B6B44D" w14:textId="77777777" w:rsidR="008423E4" w:rsidRDefault="008423E4" w:rsidP="001A4A38">
      <w:pPr>
        <w:tabs>
          <w:tab w:val="right" w:pos="9360"/>
        </w:tabs>
      </w:pPr>
    </w:p>
    <w:p w14:paraId="772FB5FA" w14:textId="77777777" w:rsidR="008423E4" w:rsidRDefault="008423E4" w:rsidP="001A4A38"/>
    <w:p w14:paraId="7C652703" w14:textId="77777777" w:rsidR="008423E4" w:rsidRDefault="008423E4" w:rsidP="001A4A3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E6EA7" w14:paraId="46E83700" w14:textId="77777777" w:rsidTr="001F1499">
        <w:tc>
          <w:tcPr>
            <w:tcW w:w="9360" w:type="dxa"/>
          </w:tcPr>
          <w:p w14:paraId="4F968D35" w14:textId="77777777" w:rsidR="008423E4" w:rsidRPr="00A8133F" w:rsidRDefault="00C0214B" w:rsidP="001A4A3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DB4127A" w14:textId="77777777" w:rsidR="008423E4" w:rsidRDefault="008423E4" w:rsidP="001A4A38"/>
          <w:p w14:paraId="33DEA32C" w14:textId="5E0CD2B5" w:rsidR="006A7C8A" w:rsidRDefault="00C0214B" w:rsidP="001A4A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A7C8A">
              <w:t xml:space="preserve">Many public and private entities within Texas such as the San Antonio </w:t>
            </w:r>
            <w:r w:rsidR="009361AA">
              <w:t>Independent School District</w:t>
            </w:r>
            <w:r w:rsidR="00EC0CD6">
              <w:t xml:space="preserve"> and</w:t>
            </w:r>
            <w:r w:rsidR="00EC0CD6" w:rsidRPr="006A7C8A">
              <w:t xml:space="preserve"> </w:t>
            </w:r>
            <w:r w:rsidRPr="006A7C8A">
              <w:t xml:space="preserve">Southwest Airlines have </w:t>
            </w:r>
            <w:r w:rsidR="001F1499">
              <w:t xml:space="preserve">required </w:t>
            </w:r>
            <w:r w:rsidRPr="006A7C8A">
              <w:t>or are attempting to require COVID</w:t>
            </w:r>
            <w:r w:rsidR="001F1499">
              <w:noBreakHyphen/>
            </w:r>
            <w:r w:rsidRPr="006A7C8A">
              <w:t>19 vaccinations of Texans against their will. Additionally, the federal government</w:t>
            </w:r>
            <w:r w:rsidR="00EC0CD6">
              <w:t xml:space="preserve"> </w:t>
            </w:r>
            <w:r w:rsidRPr="006A7C8A">
              <w:t>con</w:t>
            </w:r>
            <w:r w:rsidRPr="006A7C8A">
              <w:t xml:space="preserve">tinues to mandate vaccinations of private citizens, including Texans through a Centers for Medicare &amp; Medicaid Services regulation. </w:t>
            </w:r>
          </w:p>
          <w:p w14:paraId="1FBECE3C" w14:textId="77777777" w:rsidR="006A7C8A" w:rsidRDefault="006A7C8A" w:rsidP="001A4A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7BF0167" w14:textId="1259DFA8" w:rsidR="006A7C8A" w:rsidRDefault="00C0214B" w:rsidP="001A4A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A7C8A">
              <w:t>Forced COVID-19 vaccination is inconsistent with informed consent, which is a bedrock principle of federal and state law i</w:t>
            </w:r>
            <w:r w:rsidRPr="006A7C8A">
              <w:t xml:space="preserve">n all 50 states. The concept of informed consent makes clear that Texans have the right to be fully informed </w:t>
            </w:r>
            <w:r w:rsidR="00EC0CD6">
              <w:t xml:space="preserve">of the potential risks and benefits of </w:t>
            </w:r>
            <w:r w:rsidRPr="006A7C8A">
              <w:t>a medical treatment, so that they may make the personal decision to decline or undergo the medical treatment</w:t>
            </w:r>
            <w:r w:rsidRPr="006A7C8A">
              <w:t xml:space="preserve">. </w:t>
            </w:r>
          </w:p>
          <w:p w14:paraId="3F078711" w14:textId="77777777" w:rsidR="006A7C8A" w:rsidRDefault="006A7C8A" w:rsidP="001A4A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035C58F" w14:textId="16804875" w:rsidR="008423E4" w:rsidRDefault="00C0214B" w:rsidP="001A4A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A7C8A">
              <w:t>C</w:t>
            </w:r>
            <w:r>
              <w:t>.</w:t>
            </w:r>
            <w:r w:rsidRPr="006A7C8A">
              <w:t>S</w:t>
            </w:r>
            <w:r>
              <w:t>.</w:t>
            </w:r>
            <w:r w:rsidRPr="006A7C8A">
              <w:t>H</w:t>
            </w:r>
            <w:r>
              <w:t>.</w:t>
            </w:r>
            <w:r w:rsidRPr="006A7C8A">
              <w:t>B</w:t>
            </w:r>
            <w:r>
              <w:t>.</w:t>
            </w:r>
            <w:r w:rsidRPr="006A7C8A">
              <w:t xml:space="preserve"> 81</w:t>
            </w:r>
            <w:r>
              <w:t>, the Texas COVID-19 Vaccine Freedom Act,</w:t>
            </w:r>
            <w:r w:rsidRPr="006A7C8A">
              <w:t xml:space="preserve"> </w:t>
            </w:r>
            <w:r>
              <w:t>seeks</w:t>
            </w:r>
            <w:r w:rsidR="004720D4">
              <w:t xml:space="preserve"> to address this issue by</w:t>
            </w:r>
            <w:r>
              <w:t xml:space="preserve"> requir</w:t>
            </w:r>
            <w:r w:rsidR="004720D4">
              <w:t>ing</w:t>
            </w:r>
            <w:r>
              <w:t xml:space="preserve"> informed consent before </w:t>
            </w:r>
            <w:r w:rsidR="00EC0CD6">
              <w:t>the administration of</w:t>
            </w:r>
            <w:r w:rsidR="004720D4">
              <w:t xml:space="preserve"> a</w:t>
            </w:r>
            <w:r>
              <w:t xml:space="preserve"> COVID-19 </w:t>
            </w:r>
            <w:r w:rsidR="004720D4">
              <w:t xml:space="preserve">vaccine </w:t>
            </w:r>
            <w:r>
              <w:t xml:space="preserve">to an individual and </w:t>
            </w:r>
            <w:r w:rsidR="004720D4">
              <w:t xml:space="preserve">by </w:t>
            </w:r>
            <w:r>
              <w:t xml:space="preserve">providing for </w:t>
            </w:r>
            <w:r w:rsidR="009361AA">
              <w:t>administrative penalties and civil action against providers who violate this requirement.</w:t>
            </w:r>
          </w:p>
          <w:p w14:paraId="09E8E6BB" w14:textId="77777777" w:rsidR="008423E4" w:rsidRPr="00E26B13" w:rsidRDefault="008423E4" w:rsidP="001A4A38">
            <w:pPr>
              <w:rPr>
                <w:b/>
              </w:rPr>
            </w:pPr>
          </w:p>
        </w:tc>
      </w:tr>
      <w:tr w:rsidR="00CE6EA7" w14:paraId="59BCD092" w14:textId="77777777" w:rsidTr="001F1499">
        <w:tc>
          <w:tcPr>
            <w:tcW w:w="9360" w:type="dxa"/>
          </w:tcPr>
          <w:p w14:paraId="5592D523" w14:textId="77777777" w:rsidR="0017725B" w:rsidRDefault="00C0214B" w:rsidP="001A4A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D078D42" w14:textId="77777777" w:rsidR="0017725B" w:rsidRDefault="0017725B" w:rsidP="001A4A38">
            <w:pPr>
              <w:rPr>
                <w:b/>
                <w:u w:val="single"/>
              </w:rPr>
            </w:pPr>
          </w:p>
          <w:p w14:paraId="24DB40C9" w14:textId="0A513018" w:rsidR="00B01F8C" w:rsidRPr="00B01F8C" w:rsidRDefault="00C0214B" w:rsidP="001A4A3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</w:t>
            </w:r>
            <w:r>
              <w:t>e the eligibility of a person for community supervision, parole, or mandatory supervision.</w:t>
            </w:r>
          </w:p>
          <w:p w14:paraId="46B99CAF" w14:textId="77777777" w:rsidR="0017725B" w:rsidRPr="0017725B" w:rsidRDefault="0017725B" w:rsidP="001A4A38">
            <w:pPr>
              <w:rPr>
                <w:b/>
                <w:u w:val="single"/>
              </w:rPr>
            </w:pPr>
          </w:p>
        </w:tc>
      </w:tr>
      <w:tr w:rsidR="00CE6EA7" w14:paraId="5530DBB6" w14:textId="77777777" w:rsidTr="001F1499">
        <w:tc>
          <w:tcPr>
            <w:tcW w:w="9360" w:type="dxa"/>
          </w:tcPr>
          <w:p w14:paraId="3B9A5991" w14:textId="77777777" w:rsidR="008423E4" w:rsidRPr="00A8133F" w:rsidRDefault="00C0214B" w:rsidP="001A4A3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B6AD210" w14:textId="77777777" w:rsidR="008423E4" w:rsidRDefault="008423E4" w:rsidP="001A4A38"/>
          <w:p w14:paraId="50AF60BB" w14:textId="731ED37A" w:rsidR="00B01F8C" w:rsidRDefault="00C0214B" w:rsidP="001A4A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</w:t>
            </w:r>
            <w:r>
              <w:t>ency, or institution.</w:t>
            </w:r>
          </w:p>
          <w:p w14:paraId="5490E1BC" w14:textId="77777777" w:rsidR="008423E4" w:rsidRPr="00E21FDC" w:rsidRDefault="008423E4" w:rsidP="001A4A38">
            <w:pPr>
              <w:rPr>
                <w:b/>
              </w:rPr>
            </w:pPr>
          </w:p>
        </w:tc>
      </w:tr>
      <w:tr w:rsidR="00CE6EA7" w14:paraId="529E09B8" w14:textId="77777777" w:rsidTr="001F1499">
        <w:tc>
          <w:tcPr>
            <w:tcW w:w="9360" w:type="dxa"/>
          </w:tcPr>
          <w:p w14:paraId="4E69BCF8" w14:textId="77777777" w:rsidR="008423E4" w:rsidRPr="00A8133F" w:rsidRDefault="00C0214B" w:rsidP="001A4A3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983467E" w14:textId="77777777" w:rsidR="008423E4" w:rsidRDefault="008423E4" w:rsidP="001A4A38"/>
          <w:p w14:paraId="1AE8BE70" w14:textId="20EAF9EA" w:rsidR="00926FF7" w:rsidRDefault="00C0214B" w:rsidP="001A4A38">
            <w:pPr>
              <w:pStyle w:val="Header"/>
              <w:jc w:val="both"/>
            </w:pPr>
            <w:r>
              <w:t>C.S.</w:t>
            </w:r>
            <w:r w:rsidR="005921E0">
              <w:t>H.B. 81 amends the Health and Safety Code to</w:t>
            </w:r>
            <w:r w:rsidR="00FC0DC8">
              <w:t xml:space="preserve"> </w:t>
            </w:r>
            <w:r>
              <w:t xml:space="preserve">establish the following </w:t>
            </w:r>
            <w:r w:rsidR="00FC0DC8">
              <w:t>prohibit</w:t>
            </w:r>
            <w:r>
              <w:t>ions</w:t>
            </w:r>
            <w:r w:rsidR="00FC0DC8">
              <w:t xml:space="preserve"> </w:t>
            </w:r>
            <w:r>
              <w:t>with respect to COVID-19 vaccination:</w:t>
            </w:r>
          </w:p>
          <w:p w14:paraId="21D94865" w14:textId="78E3340B" w:rsidR="00926FF7" w:rsidRDefault="00C0214B" w:rsidP="001A4A38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a prohibition against a person </w:t>
            </w:r>
            <w:r w:rsidR="001A3273">
              <w:t>compelling or coercing a</w:t>
            </w:r>
            <w:r w:rsidR="009A070A">
              <w:t>n individual</w:t>
            </w:r>
            <w:r w:rsidR="001A3273">
              <w:t xml:space="preserve"> lawful</w:t>
            </w:r>
            <w:r w:rsidR="009A070A">
              <w:t>ly residing in</w:t>
            </w:r>
            <w:r w:rsidR="001A3273">
              <w:t xml:space="preserve"> Texas into obtaining </w:t>
            </w:r>
            <w:r w:rsidR="00903B75" w:rsidRPr="00903B75">
              <w:t>a medical treatment</w:t>
            </w:r>
            <w:r w:rsidR="00733096">
              <w:t xml:space="preserve"> involving</w:t>
            </w:r>
            <w:r w:rsidR="00903B75" w:rsidRPr="00903B75">
              <w:t xml:space="preserve"> the administration of a</w:t>
            </w:r>
            <w:r w:rsidR="00C14980">
              <w:t>ny</w:t>
            </w:r>
            <w:r w:rsidR="00903B75" w:rsidRPr="00903B75">
              <w:t xml:space="preserve"> COVID</w:t>
            </w:r>
            <w:r w:rsidR="002D7D1C">
              <w:noBreakHyphen/>
            </w:r>
            <w:r w:rsidR="00903B75" w:rsidRPr="00903B75">
              <w:t>19 vaccine</w:t>
            </w:r>
            <w:r w:rsidR="001A3273">
              <w:t xml:space="preserve"> contrary to the individual's vaccination preference</w:t>
            </w:r>
            <w:r>
              <w:t>;</w:t>
            </w:r>
            <w:r w:rsidR="001A3273">
              <w:t xml:space="preserve"> </w:t>
            </w:r>
          </w:p>
          <w:p w14:paraId="0146B3D4" w14:textId="15478A1D" w:rsidR="00926FF7" w:rsidRDefault="00C0214B" w:rsidP="001A4A38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 prohibition against a</w:t>
            </w:r>
            <w:r w:rsidRPr="00926FF7">
              <w:t xml:space="preserve"> health care provider provid</w:t>
            </w:r>
            <w:r>
              <w:t>ing</w:t>
            </w:r>
            <w:r w:rsidRPr="00926FF7">
              <w:t xml:space="preserve"> to an individual lawfully residing in </w:t>
            </w:r>
            <w:r>
              <w:t>Texas</w:t>
            </w:r>
            <w:r w:rsidRPr="00926FF7">
              <w:t xml:space="preserve"> a medical treatment involving the administration of a</w:t>
            </w:r>
            <w:r w:rsidR="00C14980">
              <w:t>ny</w:t>
            </w:r>
            <w:r w:rsidRPr="00926FF7">
              <w:t xml:space="preserve"> COVID-19 vaccine, unless the provider obtains the individual's informed consent before administering the COVID-19 vaccine</w:t>
            </w:r>
            <w:r>
              <w:t>; and</w:t>
            </w:r>
          </w:p>
          <w:p w14:paraId="57F512FF" w14:textId="1E07B770" w:rsidR="00926FF7" w:rsidRDefault="00C0214B" w:rsidP="001A4A38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a </w:t>
            </w:r>
            <w:r w:rsidR="00B657CA">
              <w:t>prohibit</w:t>
            </w:r>
            <w:r>
              <w:t>ion</w:t>
            </w:r>
            <w:r w:rsidR="00B657CA">
              <w:t xml:space="preserve"> </w:t>
            </w:r>
            <w:r>
              <w:t xml:space="preserve">against </w:t>
            </w:r>
            <w:r w:rsidR="00B657CA">
              <w:t xml:space="preserve">a person taking an adverse action or imposing a penalty of any kind against </w:t>
            </w:r>
            <w:r w:rsidR="00583C50">
              <w:t>an</w:t>
            </w:r>
            <w:r w:rsidR="00B657CA">
              <w:t xml:space="preserve"> individual </w:t>
            </w:r>
            <w:r w:rsidR="00F90E26">
              <w:t xml:space="preserve">lawfully residing in Texas </w:t>
            </w:r>
            <w:r w:rsidR="00B657CA">
              <w:t xml:space="preserve">for their refusal or failure to obtain </w:t>
            </w:r>
            <w:r w:rsidR="00583C50">
              <w:t>a</w:t>
            </w:r>
            <w:r w:rsidR="00B657CA">
              <w:t xml:space="preserve"> medical treatment</w:t>
            </w:r>
            <w:r w:rsidR="00F90E26">
              <w:t xml:space="preserve"> involving the administration of a COVID-19 vaccin</w:t>
            </w:r>
            <w:r w:rsidR="00C14980">
              <w:t>e</w:t>
            </w:r>
            <w:r w:rsidR="00F90E26">
              <w:t>.</w:t>
            </w:r>
            <w:r w:rsidR="00B657CA">
              <w:t xml:space="preserve"> </w:t>
            </w:r>
          </w:p>
          <w:p w14:paraId="598F0A19" w14:textId="1B77B73C" w:rsidR="002E69B3" w:rsidRDefault="00C0214B" w:rsidP="001A4A38">
            <w:pPr>
              <w:pStyle w:val="Header"/>
              <w:jc w:val="both"/>
            </w:pPr>
            <w:r>
              <w:t>These prohibitions apply only to the extent the</w:t>
            </w:r>
            <w:r w:rsidR="0044119E">
              <w:t>y</w:t>
            </w:r>
            <w:r>
              <w:t xml:space="preserve"> do not conflict with the fin</w:t>
            </w:r>
            <w:r>
              <w:t>al rule adopted by the federal Centers for Medicare and Medicaid Services</w:t>
            </w:r>
            <w:r w:rsidR="0091737B">
              <w:t xml:space="preserve"> (CMS)</w:t>
            </w:r>
            <w:r>
              <w:t xml:space="preserve"> and published at 86 Fed. Reg. 61555 </w:t>
            </w:r>
            <w:r w:rsidR="0044119E">
              <w:t>regarding COVID-19 vaccinations for Medicare- and Medicaid-certified hea</w:t>
            </w:r>
            <w:r w:rsidR="00C151FC">
              <w:t>l</w:t>
            </w:r>
            <w:r w:rsidR="0044119E">
              <w:t>th care providers and suppliers</w:t>
            </w:r>
            <w:r>
              <w:t>.</w:t>
            </w:r>
            <w:r w:rsidR="009C20B9">
              <w:t xml:space="preserve"> The bill defines "COVID</w:t>
            </w:r>
            <w:r w:rsidR="006D186C">
              <w:t>-</w:t>
            </w:r>
            <w:r w:rsidR="009C20B9">
              <w:t>19</w:t>
            </w:r>
            <w:r w:rsidR="006D186C">
              <w:t>" as the 2019 novel coronavirus disease.</w:t>
            </w:r>
          </w:p>
          <w:p w14:paraId="187936D9" w14:textId="77777777" w:rsidR="002E69B3" w:rsidRDefault="002E69B3" w:rsidP="001A4A38">
            <w:pPr>
              <w:pStyle w:val="Header"/>
              <w:jc w:val="both"/>
            </w:pPr>
          </w:p>
          <w:p w14:paraId="4001B3A9" w14:textId="15A3892B" w:rsidR="00B657CA" w:rsidRDefault="00C0214B" w:rsidP="001A4A38">
            <w:pPr>
              <w:pStyle w:val="Header"/>
              <w:jc w:val="both"/>
            </w:pPr>
            <w:r>
              <w:t>C.S.H.B. 81 exempts an individual employed by or providing services or receiving training in a health care facility that requires the individual to obtain a COVID-19 vaccination from the vaccination requirement if the indi</w:t>
            </w:r>
            <w:r>
              <w:t>vidual requests orally or in writing an exemption in accordance with federal law based on a sincerely held religious belief, observance, or practice that is incompatible with the administration of the vaccine or</w:t>
            </w:r>
            <w:r w:rsidR="00F90E26">
              <w:t xml:space="preserve"> based on</w:t>
            </w:r>
            <w:r>
              <w:t xml:space="preserve"> a recognized medical condition for </w:t>
            </w:r>
            <w:r>
              <w:t>which vaccines are contraindicated.</w:t>
            </w:r>
            <w:r w:rsidR="00E92EDF">
              <w:t xml:space="preserve"> The bill defines "health care facility" as a facility that is a provider of services, as defined by the federal Social Security Act, which includes </w:t>
            </w:r>
            <w:r w:rsidR="00E92EDF" w:rsidRPr="00E92EDF">
              <w:t xml:space="preserve">a hospital, critical access hospital, rural emergency hospital, skilled nursing facility, comprehensive outpatient rehabilitation facility, home health agency, </w:t>
            </w:r>
            <w:r w:rsidR="00E92EDF">
              <w:t xml:space="preserve">or </w:t>
            </w:r>
            <w:r w:rsidR="00E92EDF" w:rsidRPr="00E92EDF">
              <w:t>hospice program</w:t>
            </w:r>
            <w:r w:rsidR="00E92EDF">
              <w:t>.</w:t>
            </w:r>
          </w:p>
          <w:p w14:paraId="32B9EC7C" w14:textId="77777777" w:rsidR="00B657CA" w:rsidRDefault="00B657CA" w:rsidP="001A4A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A3CD5AD" w14:textId="2DCC8240" w:rsidR="00F90E26" w:rsidRDefault="00C0214B" w:rsidP="001A4A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B657CA">
              <w:t>H.B. 81</w:t>
            </w:r>
            <w:r w:rsidR="001A3273">
              <w:t xml:space="preserve"> </w:t>
            </w:r>
            <w:r>
              <w:t>establishes that</w:t>
            </w:r>
            <w:r w:rsidR="00E90A6A">
              <w:t xml:space="preserve"> an </w:t>
            </w:r>
            <w:r w:rsidR="00B64223">
              <w:t xml:space="preserve">individual lacks the capacity to provide informed consent for </w:t>
            </w:r>
            <w:r>
              <w:t xml:space="preserve">a medical </w:t>
            </w:r>
            <w:r w:rsidR="00B64223">
              <w:t xml:space="preserve">treatment </w:t>
            </w:r>
            <w:r>
              <w:t>involving the administration of a</w:t>
            </w:r>
            <w:r>
              <w:t xml:space="preserve"> COVID-19 vaccine </w:t>
            </w:r>
            <w:r w:rsidR="00B64223">
              <w:t xml:space="preserve">if the individual has been compelled or coerced into </w:t>
            </w:r>
            <w:r>
              <w:t>obtaining the</w:t>
            </w:r>
            <w:r w:rsidR="00583C50">
              <w:t xml:space="preserve"> COVID-19</w:t>
            </w:r>
            <w:r>
              <w:t xml:space="preserve"> vaccine</w:t>
            </w:r>
            <w:r w:rsidR="00B64223">
              <w:t xml:space="preserve"> contrary to the</w:t>
            </w:r>
            <w:r w:rsidR="00AB6C11">
              <w:t>ir</w:t>
            </w:r>
            <w:r w:rsidR="00B64223">
              <w:t xml:space="preserve"> vaccination</w:t>
            </w:r>
            <w:r w:rsidR="00A00717">
              <w:t xml:space="preserve"> preference</w:t>
            </w:r>
            <w:r>
              <w:t>.</w:t>
            </w:r>
            <w:r w:rsidR="002E69B3">
              <w:t xml:space="preserve"> </w:t>
            </w:r>
            <w:r>
              <w:t>The bill further establishes that a</w:t>
            </w:r>
            <w:r w:rsidR="002E69B3">
              <w:t xml:space="preserve"> health care provider who advises or recommends the administration of a COVID-19 </w:t>
            </w:r>
            <w:r w:rsidR="00B0579D">
              <w:t>vaccine</w:t>
            </w:r>
            <w:r w:rsidR="002E69B3">
              <w:t xml:space="preserve"> is no</w:t>
            </w:r>
            <w:r>
              <w:t>t</w:t>
            </w:r>
            <w:r w:rsidR="002E69B3">
              <w:t xml:space="preserve"> considered to have compelled or coerced an individual into obtaining a vaccine based solely on that advice or </w:t>
            </w:r>
            <w:r w:rsidR="00595043">
              <w:t>recommendation.</w:t>
            </w:r>
            <w:r w:rsidR="00A844EE">
              <w:t xml:space="preserve"> The bill defines "health care provider" as an individual </w:t>
            </w:r>
            <w:r w:rsidR="00A844EE" w:rsidRPr="00A844EE">
              <w:t xml:space="preserve">licensed or otherwise authorized by </w:t>
            </w:r>
            <w:r w:rsidR="00A844EE">
              <w:t>the</w:t>
            </w:r>
            <w:r w:rsidR="00A844EE" w:rsidRPr="00A844EE">
              <w:t xml:space="preserve"> state to administer vaccines</w:t>
            </w:r>
            <w:r w:rsidR="00A844EE">
              <w:t>.</w:t>
            </w:r>
          </w:p>
          <w:p w14:paraId="35E2750A" w14:textId="77777777" w:rsidR="00F90E26" w:rsidRDefault="00F90E26" w:rsidP="001A4A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A0F1E09" w14:textId="43844655" w:rsidR="00B657CA" w:rsidRDefault="00C0214B" w:rsidP="001A4A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81</w:t>
            </w:r>
            <w:r w:rsidR="00FC0DC8">
              <w:t xml:space="preserve"> </w:t>
            </w:r>
            <w:r w:rsidR="00A00717">
              <w:t>makes</w:t>
            </w:r>
            <w:r w:rsidR="00FC0DC8">
              <w:t xml:space="preserve"> a </w:t>
            </w:r>
            <w:r w:rsidR="00B64223">
              <w:t xml:space="preserve">health care provider </w:t>
            </w:r>
            <w:r w:rsidR="00A00717">
              <w:t>who violates th</w:t>
            </w:r>
            <w:r w:rsidR="008715BD">
              <w:t>at</w:t>
            </w:r>
            <w:r w:rsidR="00A00717">
              <w:t xml:space="preserve"> pro</w:t>
            </w:r>
            <w:r w:rsidR="008715BD">
              <w:t>hibition</w:t>
            </w:r>
            <w:r w:rsidR="00B64223">
              <w:t xml:space="preserve"> </w:t>
            </w:r>
            <w:r>
              <w:t>against providing medical treatment involving the admini</w:t>
            </w:r>
            <w:r>
              <w:t xml:space="preserve">stration of a COVID-19 vaccine without obtaining informed consent </w:t>
            </w:r>
            <w:r w:rsidR="00B64223">
              <w:t>liable to the individual</w:t>
            </w:r>
            <w:r w:rsidR="007E2435">
              <w:t xml:space="preserve"> who is </w:t>
            </w:r>
            <w:r w:rsidR="00856BA2">
              <w:t xml:space="preserve">the subject of </w:t>
            </w:r>
            <w:r>
              <w:t xml:space="preserve">the </w:t>
            </w:r>
            <w:r w:rsidR="00856BA2">
              <w:t xml:space="preserve">violation </w:t>
            </w:r>
            <w:r w:rsidR="007E2435">
              <w:t xml:space="preserve">for a minimum of $5,000 </w:t>
            </w:r>
            <w:r w:rsidR="00B64223">
              <w:t xml:space="preserve">in damages. </w:t>
            </w:r>
            <w:r w:rsidR="00733096">
              <w:t xml:space="preserve">The </w:t>
            </w:r>
            <w:r w:rsidR="005C004B">
              <w:t>bill authorizes the</w:t>
            </w:r>
            <w:r w:rsidR="00595043">
              <w:t xml:space="preserve"> prevailing party</w:t>
            </w:r>
            <w:r w:rsidR="00B0579D">
              <w:t xml:space="preserve"> </w:t>
            </w:r>
            <w:r w:rsidR="005C004B">
              <w:t xml:space="preserve">to </w:t>
            </w:r>
            <w:r w:rsidR="00B64223">
              <w:t>recover reasonable expenses</w:t>
            </w:r>
            <w:r w:rsidR="008715BD">
              <w:t>, including court costs, reasonable attorney</w:t>
            </w:r>
            <w:r w:rsidR="007816A0">
              <w:t>'</w:t>
            </w:r>
            <w:r w:rsidR="008715BD">
              <w:t>s fees, investigation costs, witness fees, and deposition expenses,</w:t>
            </w:r>
            <w:r w:rsidR="00B64223">
              <w:t xml:space="preserve"> incurred </w:t>
            </w:r>
            <w:r w:rsidR="00595043">
              <w:t>as a result of</w:t>
            </w:r>
            <w:r w:rsidR="00B0579D">
              <w:t xml:space="preserve"> the </w:t>
            </w:r>
            <w:r w:rsidR="00B64223">
              <w:t>action</w:t>
            </w:r>
            <w:r w:rsidR="005C004B">
              <w:t xml:space="preserve"> for those damages</w:t>
            </w:r>
            <w:r w:rsidR="00B0579D">
              <w:t xml:space="preserve">. The bill authorizes a </w:t>
            </w:r>
            <w:r w:rsidR="00595043" w:rsidRPr="00595043">
              <w:t xml:space="preserve">health care provider </w:t>
            </w:r>
            <w:r w:rsidR="00B0579D">
              <w:t>to</w:t>
            </w:r>
            <w:r w:rsidR="00595043" w:rsidRPr="00595043">
              <w:t xml:space="preserve"> assert an affirmative defense to </w:t>
            </w:r>
            <w:r>
              <w:t xml:space="preserve">such </w:t>
            </w:r>
            <w:r w:rsidR="00595043" w:rsidRPr="00595043">
              <w:t>an action that the individual or an individual legally authorized to consent on behalf of the individual stated to the provider before the COVID-19 vaccine was administered that the informed consent was voluntarily provided</w:t>
            </w:r>
            <w:r w:rsidR="00B0579D">
              <w:t xml:space="preserve">. </w:t>
            </w:r>
          </w:p>
          <w:p w14:paraId="4D9C0427" w14:textId="77777777" w:rsidR="00B657CA" w:rsidRDefault="00B657CA" w:rsidP="001A4A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091B997" w14:textId="0A785281" w:rsidR="00B657CA" w:rsidRDefault="00C0214B" w:rsidP="001A4A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81 authorizes the attorney general to </w:t>
            </w:r>
            <w:r>
              <w:t>bring an action for injuncti</w:t>
            </w:r>
            <w:r w:rsidR="00CE4E32">
              <w:t>ve</w:t>
            </w:r>
            <w:r>
              <w:t xml:space="preserve"> relief against a person to prevent the person from violating the bill's provisions and authorizes a court to include in </w:t>
            </w:r>
            <w:r w:rsidR="005C004B">
              <w:t>such an</w:t>
            </w:r>
            <w:r w:rsidR="0069327D">
              <w:t xml:space="preserve"> issued</w:t>
            </w:r>
            <w:r>
              <w:t xml:space="preserve"> injunction reasonable requirements to prevent further violations</w:t>
            </w:r>
            <w:r w:rsidR="008C0455">
              <w:t xml:space="preserve"> of the bill's provisions</w:t>
            </w:r>
            <w:r>
              <w:t>.</w:t>
            </w:r>
            <w:r w:rsidR="00CE4E32">
              <w:t xml:space="preserve"> </w:t>
            </w:r>
          </w:p>
          <w:p w14:paraId="73A7CD49" w14:textId="77777777" w:rsidR="00340340" w:rsidRPr="009C36CD" w:rsidRDefault="00340340" w:rsidP="001A4A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5AD1884" w14:textId="71305D90" w:rsidR="004E3818" w:rsidRDefault="00C0214B" w:rsidP="001A4A3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C.S.</w:t>
            </w:r>
            <w:r w:rsidR="00340340" w:rsidRPr="00340340">
              <w:rPr>
                <w:bCs/>
              </w:rPr>
              <w:t xml:space="preserve">H.B. </w:t>
            </w:r>
            <w:r w:rsidR="00340340">
              <w:rPr>
                <w:bCs/>
              </w:rPr>
              <w:t>81 provide</w:t>
            </w:r>
            <w:r w:rsidR="0069327D">
              <w:rPr>
                <w:bCs/>
              </w:rPr>
              <w:t>s</w:t>
            </w:r>
            <w:r w:rsidR="00340340">
              <w:rPr>
                <w:bCs/>
              </w:rPr>
              <w:t xml:space="preserve"> for the severability of </w:t>
            </w:r>
            <w:r w:rsidR="0069327D">
              <w:rPr>
                <w:bCs/>
              </w:rPr>
              <w:t>its</w:t>
            </w:r>
            <w:r w:rsidR="00340340">
              <w:rPr>
                <w:bCs/>
              </w:rPr>
              <w:t xml:space="preserve"> provisions and</w:t>
            </w:r>
            <w:r w:rsidR="0069327D">
              <w:rPr>
                <w:bCs/>
              </w:rPr>
              <w:t xml:space="preserve"> </w:t>
            </w:r>
            <w:r w:rsidR="00340340">
              <w:rPr>
                <w:bCs/>
              </w:rPr>
              <w:t>set</w:t>
            </w:r>
            <w:r w:rsidR="0069327D">
              <w:rPr>
                <w:bCs/>
              </w:rPr>
              <w:t>s</w:t>
            </w:r>
            <w:r w:rsidR="00340340">
              <w:rPr>
                <w:bCs/>
              </w:rPr>
              <w:t xml:space="preserve"> out legislative findings regarding the </w:t>
            </w:r>
            <w:r>
              <w:rPr>
                <w:bCs/>
              </w:rPr>
              <w:t xml:space="preserve">following: </w:t>
            </w:r>
          </w:p>
          <w:p w14:paraId="1575716A" w14:textId="77777777" w:rsidR="004E3818" w:rsidRDefault="00C0214B" w:rsidP="001A4A3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the </w:t>
            </w:r>
            <w:r w:rsidR="00340340">
              <w:rPr>
                <w:bCs/>
              </w:rPr>
              <w:t xml:space="preserve">state's responsibility for </w:t>
            </w:r>
            <w:r w:rsidR="00340340" w:rsidRPr="00340340">
              <w:rPr>
                <w:bCs/>
              </w:rPr>
              <w:t xml:space="preserve">ensuring that individuals lawfully residing in </w:t>
            </w:r>
            <w:r w:rsidR="00340340">
              <w:rPr>
                <w:bCs/>
              </w:rPr>
              <w:t>Texas</w:t>
            </w:r>
            <w:r w:rsidR="00340340" w:rsidRPr="00340340">
              <w:rPr>
                <w:bCs/>
              </w:rPr>
              <w:t xml:space="preserve"> have the right to provide or withhold consent for any medical treatment</w:t>
            </w:r>
            <w:r>
              <w:rPr>
                <w:bCs/>
              </w:rPr>
              <w:t>;</w:t>
            </w:r>
          </w:p>
          <w:p w14:paraId="4E67B571" w14:textId="08AA516A" w:rsidR="00175205" w:rsidRDefault="00C0214B" w:rsidP="001A4A3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federal</w:t>
            </w:r>
            <w:r w:rsidR="00DA64FC">
              <w:rPr>
                <w:bCs/>
              </w:rPr>
              <w:t xml:space="preserve"> </w:t>
            </w:r>
            <w:r>
              <w:rPr>
                <w:bCs/>
              </w:rPr>
              <w:t>regulations</w:t>
            </w:r>
            <w:r w:rsidR="00B852C3">
              <w:rPr>
                <w:bCs/>
              </w:rPr>
              <w:t xml:space="preserve">, </w:t>
            </w:r>
            <w:r>
              <w:rPr>
                <w:bCs/>
              </w:rPr>
              <w:t>court decisions</w:t>
            </w:r>
            <w:r w:rsidR="00B852C3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DA64FC">
              <w:rPr>
                <w:bCs/>
              </w:rPr>
              <w:t xml:space="preserve">and </w:t>
            </w:r>
            <w:r>
              <w:rPr>
                <w:bCs/>
              </w:rPr>
              <w:t>an American M</w:t>
            </w:r>
            <w:r w:rsidR="00DA64FC">
              <w:rPr>
                <w:bCs/>
              </w:rPr>
              <w:t xml:space="preserve">edical </w:t>
            </w:r>
            <w:r>
              <w:rPr>
                <w:bCs/>
              </w:rPr>
              <w:t>Association opinion</w:t>
            </w:r>
            <w:r w:rsidR="00DA64FC">
              <w:rPr>
                <w:bCs/>
              </w:rPr>
              <w:t xml:space="preserve"> that</w:t>
            </w:r>
            <w:r w:rsidR="00B852C3">
              <w:rPr>
                <w:bCs/>
              </w:rPr>
              <w:t>, as applicable,</w:t>
            </w:r>
            <w:r w:rsidR="00DA64FC">
              <w:rPr>
                <w:bCs/>
              </w:rPr>
              <w:t xml:space="preserve"> provide for informed consent </w:t>
            </w:r>
            <w:r>
              <w:rPr>
                <w:bCs/>
              </w:rPr>
              <w:t>for a medical treatment</w:t>
            </w:r>
            <w:r w:rsidR="0014043C">
              <w:rPr>
                <w:bCs/>
              </w:rPr>
              <w:t xml:space="preserve">, </w:t>
            </w:r>
            <w:r w:rsidR="00DA64FC">
              <w:rPr>
                <w:bCs/>
              </w:rPr>
              <w:t>an individual's right to make their own medical decisions</w:t>
            </w:r>
            <w:r w:rsidR="0014043C">
              <w:rPr>
                <w:bCs/>
              </w:rPr>
              <w:t xml:space="preserve">, and states to provide </w:t>
            </w:r>
            <w:r w:rsidR="0014043C" w:rsidRPr="0014043C">
              <w:rPr>
                <w:bCs/>
              </w:rPr>
              <w:t xml:space="preserve">individual liberties more expansive than those conferred by the </w:t>
            </w:r>
            <w:r w:rsidR="0014043C">
              <w:rPr>
                <w:bCs/>
              </w:rPr>
              <w:t>U.S.</w:t>
            </w:r>
            <w:r w:rsidR="0014043C" w:rsidRPr="0014043C">
              <w:rPr>
                <w:bCs/>
              </w:rPr>
              <w:t xml:space="preserve"> Constitution</w:t>
            </w:r>
            <w:r>
              <w:rPr>
                <w:bCs/>
              </w:rPr>
              <w:t>;</w:t>
            </w:r>
            <w:r w:rsidR="00DA64FC">
              <w:rPr>
                <w:bCs/>
              </w:rPr>
              <w:t xml:space="preserve"> </w:t>
            </w:r>
          </w:p>
          <w:p w14:paraId="3B954550" w14:textId="7A5D226A" w:rsidR="00340340" w:rsidRDefault="00C0214B" w:rsidP="001A4A3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how </w:t>
            </w:r>
            <w:r w:rsidR="00175205">
              <w:rPr>
                <w:bCs/>
              </w:rPr>
              <w:t xml:space="preserve">attempted </w:t>
            </w:r>
            <w:r>
              <w:rPr>
                <w:bCs/>
              </w:rPr>
              <w:t>compulsory COVID-19 vaccination</w:t>
            </w:r>
            <w:r w:rsidR="00175205">
              <w:rPr>
                <w:bCs/>
              </w:rPr>
              <w:t xml:space="preserve"> has occurred</w:t>
            </w:r>
            <w:r w:rsidR="00FE50D7">
              <w:rPr>
                <w:bCs/>
              </w:rPr>
              <w:t xml:space="preserve"> or is occurring</w:t>
            </w:r>
            <w:r w:rsidR="00175205">
              <w:rPr>
                <w:bCs/>
              </w:rPr>
              <w:t xml:space="preserve"> inside and outside of Texas and</w:t>
            </w:r>
            <w:r>
              <w:rPr>
                <w:bCs/>
              </w:rPr>
              <w:t xml:space="preserve"> is contra</w:t>
            </w:r>
            <w:r>
              <w:rPr>
                <w:bCs/>
              </w:rPr>
              <w:t>ry to and inconsistent with these principles</w:t>
            </w:r>
            <w:r w:rsidR="002E69B3">
              <w:rPr>
                <w:bCs/>
              </w:rPr>
              <w:t>;</w:t>
            </w:r>
          </w:p>
          <w:p w14:paraId="0A946D35" w14:textId="40422C56" w:rsidR="00595043" w:rsidRDefault="00C0214B" w:rsidP="001A4A3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how </w:t>
            </w:r>
            <w:r w:rsidRPr="00595043">
              <w:rPr>
                <w:bCs/>
              </w:rPr>
              <w:t>federal regulations requiring an individual who works or receives training in a health care facility, including a hospital, to obtain a COVID-19 vaccine provid</w:t>
            </w:r>
            <w:r w:rsidR="00A972BE">
              <w:rPr>
                <w:bCs/>
              </w:rPr>
              <w:t>e</w:t>
            </w:r>
            <w:r w:rsidRPr="00595043">
              <w:rPr>
                <w:bCs/>
              </w:rPr>
              <w:t xml:space="preserve"> an exemption </w:t>
            </w:r>
            <w:r w:rsidR="00A972BE">
              <w:rPr>
                <w:bCs/>
              </w:rPr>
              <w:t xml:space="preserve">on the basis of </w:t>
            </w:r>
            <w:r w:rsidR="00C151FC">
              <w:rPr>
                <w:bCs/>
              </w:rPr>
              <w:t>a sincerely held religious belief, observance, or practice</w:t>
            </w:r>
            <w:r w:rsidR="00C151FC" w:rsidRPr="00595043">
              <w:rPr>
                <w:bCs/>
              </w:rPr>
              <w:t xml:space="preserve"> </w:t>
            </w:r>
            <w:r w:rsidRPr="00595043">
              <w:rPr>
                <w:bCs/>
              </w:rPr>
              <w:t xml:space="preserve">or </w:t>
            </w:r>
            <w:r w:rsidR="00A972BE">
              <w:rPr>
                <w:bCs/>
              </w:rPr>
              <w:t xml:space="preserve">due to </w:t>
            </w:r>
            <w:r w:rsidRPr="00595043">
              <w:rPr>
                <w:bCs/>
              </w:rPr>
              <w:t>a recognized medical condition for which vaccines are contraindicated</w:t>
            </w:r>
            <w:r w:rsidR="00A972BE">
              <w:rPr>
                <w:bCs/>
              </w:rPr>
              <w:t>; and</w:t>
            </w:r>
          </w:p>
          <w:p w14:paraId="1A89DD09" w14:textId="7C2B7743" w:rsidR="00A972BE" w:rsidRDefault="00C0214B" w:rsidP="001A4A3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the effect of the bill's provisions requiring informed consent for medical treatments involving COVID-19 </w:t>
            </w:r>
            <w:r>
              <w:rPr>
                <w:bCs/>
              </w:rPr>
              <w:t>vaccination.</w:t>
            </w:r>
          </w:p>
          <w:p w14:paraId="662E7949" w14:textId="77777777" w:rsidR="003E5B9B" w:rsidRDefault="003E5B9B" w:rsidP="001A4A3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2F9E40F9" w14:textId="77777777" w:rsidR="00FE50D7" w:rsidRDefault="00C0214B" w:rsidP="001A4A3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C.S.H.B. 81 </w:t>
            </w:r>
            <w:r w:rsidRPr="003E5B9B">
              <w:rPr>
                <w:bCs/>
              </w:rPr>
              <w:t xml:space="preserve">applies </w:t>
            </w:r>
            <w:r>
              <w:rPr>
                <w:bCs/>
              </w:rPr>
              <w:t xml:space="preserve">only </w:t>
            </w:r>
            <w:r w:rsidRPr="003E5B9B">
              <w:rPr>
                <w:bCs/>
              </w:rPr>
              <w:t>to conduct that occurs on or after the bill's effective date.</w:t>
            </w:r>
          </w:p>
          <w:p w14:paraId="079AA44E" w14:textId="594B0F7E" w:rsidR="003C776F" w:rsidRPr="00340340" w:rsidRDefault="003C776F" w:rsidP="001A4A3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</w:tc>
      </w:tr>
      <w:tr w:rsidR="00CE6EA7" w14:paraId="326F975C" w14:textId="77777777" w:rsidTr="001F1499">
        <w:tc>
          <w:tcPr>
            <w:tcW w:w="9360" w:type="dxa"/>
          </w:tcPr>
          <w:p w14:paraId="13E7B954" w14:textId="77777777" w:rsidR="008423E4" w:rsidRPr="00A8133F" w:rsidRDefault="00C0214B" w:rsidP="001A4A38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BBD8B0E" w14:textId="77777777" w:rsidR="008423E4" w:rsidRDefault="008423E4" w:rsidP="001A4A38"/>
          <w:p w14:paraId="718C731F" w14:textId="553F3393" w:rsidR="008423E4" w:rsidRPr="003624F2" w:rsidRDefault="00C0214B" w:rsidP="001A4A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342960B4" w14:textId="77777777" w:rsidR="008423E4" w:rsidRPr="00233FDB" w:rsidRDefault="008423E4" w:rsidP="001A4A38">
            <w:pPr>
              <w:rPr>
                <w:b/>
              </w:rPr>
            </w:pPr>
          </w:p>
        </w:tc>
      </w:tr>
      <w:tr w:rsidR="00CE6EA7" w14:paraId="1A7B7B8A" w14:textId="77777777" w:rsidTr="001F1499">
        <w:tc>
          <w:tcPr>
            <w:tcW w:w="9360" w:type="dxa"/>
          </w:tcPr>
          <w:p w14:paraId="0B8F8340" w14:textId="77777777" w:rsidR="00490E4F" w:rsidRDefault="00C0214B" w:rsidP="001A4A3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5D7258F" w14:textId="77777777" w:rsidR="00D72B3A" w:rsidRDefault="00D72B3A" w:rsidP="001A4A38">
            <w:pPr>
              <w:jc w:val="both"/>
              <w:rPr>
                <w:b/>
                <w:u w:val="single"/>
              </w:rPr>
            </w:pPr>
          </w:p>
          <w:p w14:paraId="141291BB" w14:textId="77777777" w:rsidR="0014043C" w:rsidRDefault="00C0214B" w:rsidP="001A4A38">
            <w:pPr>
              <w:jc w:val="both"/>
            </w:pPr>
            <w:r>
              <w:t>While C.S.H.B. 81 may differ from the introduced in minor or nonsubstantive ways, the following summarizes the substantial differences between the introduced and committee substitute versions of the bill.</w:t>
            </w:r>
          </w:p>
          <w:p w14:paraId="276D618A" w14:textId="77777777" w:rsidR="0014043C" w:rsidRDefault="00C0214B" w:rsidP="001A4A38">
            <w:pPr>
              <w:jc w:val="both"/>
            </w:pPr>
            <w:r>
              <w:t xml:space="preserve"> </w:t>
            </w:r>
          </w:p>
          <w:p w14:paraId="2A43C439" w14:textId="77777777" w:rsidR="0014043C" w:rsidRDefault="00C0214B" w:rsidP="001A4A38">
            <w:pPr>
              <w:jc w:val="both"/>
            </w:pPr>
            <w:r>
              <w:t>The substitute includes provisions absent from th</w:t>
            </w:r>
            <w:r>
              <w:t>e introduced that do the following:</w:t>
            </w:r>
          </w:p>
          <w:p w14:paraId="04CB976D" w14:textId="77777777" w:rsidR="0014043C" w:rsidRDefault="00C0214B" w:rsidP="001A4A3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establish that a health care provider who advises or recommends the administration of a COVID-19 vaccine is not considered to have coerced or compelled an individual solely on the basis of that advice or recommendation; </w:t>
            </w:r>
          </w:p>
          <w:p w14:paraId="117CE679" w14:textId="77777777" w:rsidR="0014043C" w:rsidRDefault="00C0214B" w:rsidP="001A4A3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establish that the prohibitions set out by the bill apply only to the extent they do not conflict with a certain final rule adopted by CMS;</w:t>
            </w:r>
          </w:p>
          <w:p w14:paraId="7FA27A6F" w14:textId="5974AFA3" w:rsidR="0014043C" w:rsidRDefault="00C0214B" w:rsidP="001A4A3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establish </w:t>
            </w:r>
            <w:r w:rsidR="00B715D8">
              <w:t xml:space="preserve">that </w:t>
            </w:r>
            <w:r>
              <w:t>a</w:t>
            </w:r>
            <w:r w:rsidRPr="0091737B">
              <w:t>n individual employed by or providing services or receiving training in a health care facility that</w:t>
            </w:r>
            <w:r w:rsidRPr="0091737B">
              <w:t xml:space="preserve"> requires the individual to obtain a COVID-19 vaccination is exempt from the vaccination requirement</w:t>
            </w:r>
            <w:r w:rsidR="004C63E3">
              <w:t xml:space="preserve"> if the individual requests orally or in writing an exemption in accordance with federal law based on the following:</w:t>
            </w:r>
          </w:p>
          <w:p w14:paraId="6FD7D0F8" w14:textId="59884469" w:rsidR="004C63E3" w:rsidRDefault="00C0214B" w:rsidP="001A4A38">
            <w:pPr>
              <w:pStyle w:val="ListParagraph"/>
              <w:numPr>
                <w:ilvl w:val="1"/>
                <w:numId w:val="5"/>
              </w:numPr>
              <w:contextualSpacing w:val="0"/>
              <w:jc w:val="both"/>
            </w:pPr>
            <w:r>
              <w:t>a sincerely held religious belief, obse</w:t>
            </w:r>
            <w:r>
              <w:t>rvance, or practice that is incompatible with the administration of the vaccine; or</w:t>
            </w:r>
          </w:p>
          <w:p w14:paraId="5BB562A2" w14:textId="65202B0A" w:rsidR="004C63E3" w:rsidRDefault="00C0214B" w:rsidP="001A4A38">
            <w:pPr>
              <w:pStyle w:val="ListParagraph"/>
              <w:numPr>
                <w:ilvl w:val="1"/>
                <w:numId w:val="5"/>
              </w:numPr>
              <w:contextualSpacing w:val="0"/>
              <w:jc w:val="both"/>
            </w:pPr>
            <w:r>
              <w:t>a recognized medical condition for which vaccines are contraindic</w:t>
            </w:r>
            <w:r w:rsidR="003D569F">
              <w:t>a</w:t>
            </w:r>
            <w:r>
              <w:t>ted</w:t>
            </w:r>
            <w:r w:rsidR="000A4631">
              <w:t>;</w:t>
            </w:r>
          </w:p>
          <w:p w14:paraId="173FE34C" w14:textId="77777777" w:rsidR="0014043C" w:rsidRDefault="00C0214B" w:rsidP="001A4A3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define the term "health care facility"; and</w:t>
            </w:r>
          </w:p>
          <w:p w14:paraId="08FF8E8A" w14:textId="2FCC03C1" w:rsidR="0014043C" w:rsidRDefault="00C0214B" w:rsidP="001A4A38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establish a legislative finding regarding certain </w:t>
            </w:r>
            <w:r>
              <w:t>federal vaccine requirements providing an exemption for individuals with sincerely held religious beliefs, observances, or practices</w:t>
            </w:r>
            <w:r w:rsidR="006C4AC7">
              <w:t xml:space="preserve"> </w:t>
            </w:r>
            <w:r w:rsidR="006C4AC7" w:rsidRPr="006C4AC7">
              <w:t xml:space="preserve">that </w:t>
            </w:r>
            <w:r w:rsidR="006C4AC7">
              <w:t>are</w:t>
            </w:r>
            <w:r w:rsidR="006C4AC7" w:rsidRPr="006C4AC7">
              <w:t xml:space="preserve"> incompatible with the administration of the vaccine or a recognized medical condition for which vaccines are contraindicated</w:t>
            </w:r>
            <w:r>
              <w:t>.</w:t>
            </w:r>
          </w:p>
          <w:p w14:paraId="4F0BF2E3" w14:textId="77777777" w:rsidR="0014043C" w:rsidRDefault="00C0214B" w:rsidP="001A4A38">
            <w:pPr>
              <w:jc w:val="both"/>
            </w:pPr>
            <w:r>
              <w:t xml:space="preserve">The substitute revises a legislative finding included in the introduced regarding the bill prohibiting a person from compelling or </w:t>
            </w:r>
            <w:r w:rsidRPr="00FF1E34">
              <w:t xml:space="preserve">coercing an individual lawfully residing in </w:t>
            </w:r>
            <w:r>
              <w:t>Texas</w:t>
            </w:r>
            <w:r w:rsidRPr="00FF1E34">
              <w:t xml:space="preserve"> into obtaining medical treatments involving the administration </w:t>
            </w:r>
            <w:r w:rsidRPr="00FF1E34">
              <w:t>of a COVID-19 vaccine</w:t>
            </w:r>
            <w:r>
              <w:t xml:space="preserve"> to reflect the inclusion of that provision making the prohibitions applicable only insofar as they do not conflict with the final CMS rule.</w:t>
            </w:r>
          </w:p>
          <w:p w14:paraId="1871D57E" w14:textId="77777777" w:rsidR="0014043C" w:rsidRDefault="0014043C" w:rsidP="001A4A38">
            <w:pPr>
              <w:jc w:val="both"/>
            </w:pPr>
          </w:p>
          <w:p w14:paraId="16A976A4" w14:textId="77777777" w:rsidR="0014043C" w:rsidRDefault="00C0214B" w:rsidP="001A4A38">
            <w:pPr>
              <w:jc w:val="both"/>
            </w:pPr>
            <w:r>
              <w:t>Whereas the introduced authorized a claimant to recover reasonable expenses in bringing an ac</w:t>
            </w:r>
            <w:r>
              <w:t xml:space="preserve">tion under the bill, the substitute clarifies that only the prevailing party is authorized to recover expenses as a result of the action. The substitute omits a provision that </w:t>
            </w:r>
            <w:r w:rsidRPr="00D72B3A">
              <w:t xml:space="preserve">exempts such an action from certain Civil Practice and Remedies Code provisions </w:t>
            </w:r>
            <w:r w:rsidRPr="00D72B3A">
              <w:t>establishing standards for recovery and factors precluding recovery of exemplary damages</w:t>
            </w:r>
            <w:r>
              <w:t>. The substitute includes a provision absent from the introduced authorizing a health care provider to assert an affirmative defense in such an action that the individu</w:t>
            </w:r>
            <w:r>
              <w:t>al or an individual legally authorized to consent on the individual's behalf stated to the provider before the COVID-19 vaccine was administered that the requisite informed consent was voluntarily provided.</w:t>
            </w:r>
          </w:p>
          <w:p w14:paraId="6BD656E2" w14:textId="77777777" w:rsidR="006D186C" w:rsidRDefault="006D186C" w:rsidP="001A4A38">
            <w:pPr>
              <w:jc w:val="both"/>
              <w:rPr>
                <w:b/>
                <w:u w:val="single"/>
              </w:rPr>
            </w:pPr>
          </w:p>
          <w:p w14:paraId="3F54B296" w14:textId="749D899D" w:rsidR="006D186C" w:rsidRPr="001A4A38" w:rsidRDefault="00C0214B" w:rsidP="001A4A38">
            <w:pPr>
              <w:jc w:val="both"/>
              <w:rPr>
                <w:bCs/>
              </w:rPr>
            </w:pPr>
            <w:r w:rsidRPr="001A4A38">
              <w:rPr>
                <w:bCs/>
              </w:rPr>
              <w:t>Whereas the caption of the introduced version re</w:t>
            </w:r>
            <w:r w:rsidRPr="001A4A38">
              <w:rPr>
                <w:bCs/>
              </w:rPr>
              <w:t>ad as relating to informed consent before the provision of certain medical treatments involving COVID-19 vaccination, the caption of the substitute instead reads as relating to informed consent before the provision of certain medical treatments</w:t>
            </w:r>
            <w:r w:rsidR="003950F3">
              <w:rPr>
                <w:bCs/>
              </w:rPr>
              <w:t xml:space="preserve"> and exemptions from COVID-19 vaccination requirements.</w:t>
            </w:r>
          </w:p>
          <w:p w14:paraId="427EEDF4" w14:textId="38661587" w:rsidR="006D186C" w:rsidRPr="001A4A38" w:rsidRDefault="006D186C" w:rsidP="001A4A38">
            <w:pPr>
              <w:jc w:val="both"/>
              <w:rPr>
                <w:bCs/>
                <w:u w:val="single"/>
              </w:rPr>
            </w:pPr>
          </w:p>
        </w:tc>
      </w:tr>
      <w:tr w:rsidR="00CE6EA7" w14:paraId="75A6F1D0" w14:textId="77777777" w:rsidTr="001F1499">
        <w:tc>
          <w:tcPr>
            <w:tcW w:w="9360" w:type="dxa"/>
          </w:tcPr>
          <w:p w14:paraId="51B05B2F" w14:textId="77777777" w:rsidR="00490E4F" w:rsidRDefault="00490E4F" w:rsidP="001A4A38">
            <w:pPr>
              <w:jc w:val="both"/>
              <w:rPr>
                <w:b/>
                <w:u w:val="single"/>
              </w:rPr>
            </w:pPr>
          </w:p>
        </w:tc>
      </w:tr>
      <w:tr w:rsidR="00CE6EA7" w14:paraId="3689C93C" w14:textId="77777777" w:rsidTr="001F1499">
        <w:tc>
          <w:tcPr>
            <w:tcW w:w="9360" w:type="dxa"/>
          </w:tcPr>
          <w:p w14:paraId="75E03CCF" w14:textId="77777777" w:rsidR="00490E4F" w:rsidRPr="00490E4F" w:rsidRDefault="00490E4F" w:rsidP="001A4A38">
            <w:pPr>
              <w:jc w:val="both"/>
            </w:pPr>
          </w:p>
        </w:tc>
      </w:tr>
      <w:tr w:rsidR="00CE6EA7" w14:paraId="00E5E049" w14:textId="77777777" w:rsidTr="001F1499">
        <w:tc>
          <w:tcPr>
            <w:tcW w:w="9360" w:type="dxa"/>
          </w:tcPr>
          <w:p w14:paraId="4573A74C" w14:textId="77777777" w:rsidR="00490E4F" w:rsidRDefault="00490E4F" w:rsidP="001A4A38">
            <w:pPr>
              <w:jc w:val="both"/>
              <w:rPr>
                <w:b/>
                <w:u w:val="single"/>
              </w:rPr>
            </w:pPr>
          </w:p>
        </w:tc>
      </w:tr>
    </w:tbl>
    <w:p w14:paraId="088DF5E0" w14:textId="77777777" w:rsidR="004108C3" w:rsidRPr="008423E4" w:rsidRDefault="004108C3" w:rsidP="001A4A3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D4FE" w14:textId="77777777" w:rsidR="00000000" w:rsidRDefault="00C0214B">
      <w:r>
        <w:separator/>
      </w:r>
    </w:p>
  </w:endnote>
  <w:endnote w:type="continuationSeparator" w:id="0">
    <w:p w14:paraId="1A525CC0" w14:textId="77777777" w:rsidR="00000000" w:rsidRDefault="00C0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D9D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E6EA7" w14:paraId="2DA9F190" w14:textId="77777777" w:rsidTr="009C1E9A">
      <w:trPr>
        <w:cantSplit/>
      </w:trPr>
      <w:tc>
        <w:tcPr>
          <w:tcW w:w="0" w:type="pct"/>
        </w:tcPr>
        <w:p w14:paraId="7AC612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B7CD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5307F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6509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8353E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E6EA7" w14:paraId="716C4112" w14:textId="77777777" w:rsidTr="009C1E9A">
      <w:trPr>
        <w:cantSplit/>
      </w:trPr>
      <w:tc>
        <w:tcPr>
          <w:tcW w:w="0" w:type="pct"/>
        </w:tcPr>
        <w:p w14:paraId="6BA4D9E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479243" w14:textId="23414A1C" w:rsidR="00EC379B" w:rsidRPr="009C1E9A" w:rsidRDefault="00C0214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26864-F</w:t>
          </w:r>
        </w:p>
      </w:tc>
      <w:tc>
        <w:tcPr>
          <w:tcW w:w="2453" w:type="pct"/>
        </w:tcPr>
        <w:p w14:paraId="0AC2E232" w14:textId="5AB54FD5" w:rsidR="00EC379B" w:rsidRDefault="00C0214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D607A">
            <w:t>23.117.1045</w:t>
          </w:r>
          <w:r>
            <w:fldChar w:fldCharType="end"/>
          </w:r>
        </w:p>
      </w:tc>
    </w:tr>
    <w:tr w:rsidR="00CE6EA7" w14:paraId="169BE23B" w14:textId="77777777" w:rsidTr="009C1E9A">
      <w:trPr>
        <w:cantSplit/>
      </w:trPr>
      <w:tc>
        <w:tcPr>
          <w:tcW w:w="0" w:type="pct"/>
        </w:tcPr>
        <w:p w14:paraId="6109567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E47B222" w14:textId="6D4AED87" w:rsidR="00EC379B" w:rsidRPr="009C1E9A" w:rsidRDefault="00C0214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20392</w:t>
          </w:r>
        </w:p>
      </w:tc>
      <w:tc>
        <w:tcPr>
          <w:tcW w:w="2453" w:type="pct"/>
        </w:tcPr>
        <w:p w14:paraId="5F89891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A5CD67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E6EA7" w14:paraId="5AE6E53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542ACD9" w14:textId="77777777" w:rsidR="00EC379B" w:rsidRDefault="00C0214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9EE029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6F4B1A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355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6057" w14:textId="77777777" w:rsidR="00000000" w:rsidRDefault="00C0214B">
      <w:r>
        <w:separator/>
      </w:r>
    </w:p>
  </w:footnote>
  <w:footnote w:type="continuationSeparator" w:id="0">
    <w:p w14:paraId="1D36AEAC" w14:textId="77777777" w:rsidR="00000000" w:rsidRDefault="00C02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084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EF1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70C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E41"/>
    <w:multiLevelType w:val="hybridMultilevel"/>
    <w:tmpl w:val="1A5A6426"/>
    <w:lvl w:ilvl="0" w:tplc="D070E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43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A85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03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A5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E63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49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22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E6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0541"/>
    <w:multiLevelType w:val="hybridMultilevel"/>
    <w:tmpl w:val="5846ED22"/>
    <w:lvl w:ilvl="0" w:tplc="774C0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089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4D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CD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E4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54A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A1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CD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C9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2416"/>
    <w:multiLevelType w:val="hybridMultilevel"/>
    <w:tmpl w:val="40EE61FA"/>
    <w:lvl w:ilvl="0" w:tplc="7362F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272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61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89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61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1A7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E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63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402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42B3C"/>
    <w:multiLevelType w:val="hybridMultilevel"/>
    <w:tmpl w:val="D50000F6"/>
    <w:lvl w:ilvl="0" w:tplc="8ABA7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21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E7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08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28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0D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CA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23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23928"/>
    <w:multiLevelType w:val="hybridMultilevel"/>
    <w:tmpl w:val="027A3DB4"/>
    <w:lvl w:ilvl="0" w:tplc="DEAC2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8E4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2E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4E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2C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28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6A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28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4C3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033E9"/>
    <w:multiLevelType w:val="hybridMultilevel"/>
    <w:tmpl w:val="4BA08D30"/>
    <w:lvl w:ilvl="0" w:tplc="39FA8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92C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65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22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89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E6A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64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6C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7E3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06883">
    <w:abstractNumId w:val="5"/>
  </w:num>
  <w:num w:numId="2" w16cid:durableId="764377111">
    <w:abstractNumId w:val="1"/>
  </w:num>
  <w:num w:numId="3" w16cid:durableId="742023928">
    <w:abstractNumId w:val="3"/>
  </w:num>
  <w:num w:numId="4" w16cid:durableId="118258002">
    <w:abstractNumId w:val="0"/>
  </w:num>
  <w:num w:numId="5" w16cid:durableId="1619098823">
    <w:abstractNumId w:val="2"/>
  </w:num>
  <w:num w:numId="6" w16cid:durableId="1609121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E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3E83"/>
    <w:rsid w:val="00090E6B"/>
    <w:rsid w:val="0009153D"/>
    <w:rsid w:val="00091B2C"/>
    <w:rsid w:val="00092ABC"/>
    <w:rsid w:val="00097AAF"/>
    <w:rsid w:val="00097D13"/>
    <w:rsid w:val="000A4631"/>
    <w:rsid w:val="000A4893"/>
    <w:rsid w:val="000A54E0"/>
    <w:rsid w:val="000A7294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7AB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3B0B"/>
    <w:rsid w:val="001245C8"/>
    <w:rsid w:val="00124653"/>
    <w:rsid w:val="001247C5"/>
    <w:rsid w:val="00127893"/>
    <w:rsid w:val="001312BB"/>
    <w:rsid w:val="00137D90"/>
    <w:rsid w:val="0014043C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67E"/>
    <w:rsid w:val="00175205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273"/>
    <w:rsid w:val="001A3DDF"/>
    <w:rsid w:val="001A4310"/>
    <w:rsid w:val="001A4A38"/>
    <w:rsid w:val="001A7328"/>
    <w:rsid w:val="001A7E67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499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5DC0"/>
    <w:rsid w:val="0024077A"/>
    <w:rsid w:val="00241EC1"/>
    <w:rsid w:val="002431DA"/>
    <w:rsid w:val="0024691D"/>
    <w:rsid w:val="00247220"/>
    <w:rsid w:val="00247D27"/>
    <w:rsid w:val="00250A50"/>
    <w:rsid w:val="00251ED5"/>
    <w:rsid w:val="00255EB6"/>
    <w:rsid w:val="00257429"/>
    <w:rsid w:val="00257DD6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02A"/>
    <w:rsid w:val="00291518"/>
    <w:rsid w:val="00296FF0"/>
    <w:rsid w:val="002A17C0"/>
    <w:rsid w:val="002A2A8B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0F2"/>
    <w:rsid w:val="002B7BA7"/>
    <w:rsid w:val="002C1C17"/>
    <w:rsid w:val="002C3203"/>
    <w:rsid w:val="002C3B07"/>
    <w:rsid w:val="002C532B"/>
    <w:rsid w:val="002C5713"/>
    <w:rsid w:val="002D05CC"/>
    <w:rsid w:val="002D305A"/>
    <w:rsid w:val="002D7D1C"/>
    <w:rsid w:val="002E21B8"/>
    <w:rsid w:val="002E69B3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0BA"/>
    <w:rsid w:val="00336BA4"/>
    <w:rsid w:val="00336C7A"/>
    <w:rsid w:val="00337392"/>
    <w:rsid w:val="00337659"/>
    <w:rsid w:val="00340340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4FD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21E"/>
    <w:rsid w:val="00393718"/>
    <w:rsid w:val="003950F3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76F"/>
    <w:rsid w:val="003D569F"/>
    <w:rsid w:val="003D726D"/>
    <w:rsid w:val="003D7ECD"/>
    <w:rsid w:val="003E0875"/>
    <w:rsid w:val="003E0BB8"/>
    <w:rsid w:val="003E5B9B"/>
    <w:rsid w:val="003E6CB0"/>
    <w:rsid w:val="003F1F5E"/>
    <w:rsid w:val="003F286A"/>
    <w:rsid w:val="003F77F8"/>
    <w:rsid w:val="003F7AE2"/>
    <w:rsid w:val="00400ACD"/>
    <w:rsid w:val="00403B15"/>
    <w:rsid w:val="00403E8A"/>
    <w:rsid w:val="00406398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216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19E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0D4"/>
    <w:rsid w:val="00474927"/>
    <w:rsid w:val="00475913"/>
    <w:rsid w:val="00480080"/>
    <w:rsid w:val="004824A7"/>
    <w:rsid w:val="00483AF0"/>
    <w:rsid w:val="00484167"/>
    <w:rsid w:val="00490E4F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B77D2"/>
    <w:rsid w:val="004C302F"/>
    <w:rsid w:val="004C4609"/>
    <w:rsid w:val="004C4B8A"/>
    <w:rsid w:val="004C52EF"/>
    <w:rsid w:val="004C5F34"/>
    <w:rsid w:val="004C600C"/>
    <w:rsid w:val="004C63E3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113"/>
    <w:rsid w:val="004E3818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139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3C50"/>
    <w:rsid w:val="005847EF"/>
    <w:rsid w:val="005851E6"/>
    <w:rsid w:val="005878B7"/>
    <w:rsid w:val="005921E0"/>
    <w:rsid w:val="00592C9A"/>
    <w:rsid w:val="00593DF8"/>
    <w:rsid w:val="00595043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004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C91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F0F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27D"/>
    <w:rsid w:val="00693AFA"/>
    <w:rsid w:val="00695101"/>
    <w:rsid w:val="00695B9A"/>
    <w:rsid w:val="00696563"/>
    <w:rsid w:val="006979F8"/>
    <w:rsid w:val="006A3487"/>
    <w:rsid w:val="006A6068"/>
    <w:rsid w:val="006A7C8A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AC7"/>
    <w:rsid w:val="006D186C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5F9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096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6A0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07A"/>
    <w:rsid w:val="007D7FCB"/>
    <w:rsid w:val="007E2435"/>
    <w:rsid w:val="007E33B6"/>
    <w:rsid w:val="007E59E8"/>
    <w:rsid w:val="007F182B"/>
    <w:rsid w:val="007F3861"/>
    <w:rsid w:val="007F4162"/>
    <w:rsid w:val="007F5441"/>
    <w:rsid w:val="007F7668"/>
    <w:rsid w:val="00800C63"/>
    <w:rsid w:val="00802243"/>
    <w:rsid w:val="008023D4"/>
    <w:rsid w:val="00803F6E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BA2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5BD"/>
    <w:rsid w:val="00871775"/>
    <w:rsid w:val="00871AEF"/>
    <w:rsid w:val="008726E5"/>
    <w:rsid w:val="0087289E"/>
    <w:rsid w:val="00874C05"/>
    <w:rsid w:val="0087588B"/>
    <w:rsid w:val="0087680A"/>
    <w:rsid w:val="008806EB"/>
    <w:rsid w:val="0088160A"/>
    <w:rsid w:val="008826F2"/>
    <w:rsid w:val="0088315F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455"/>
    <w:rsid w:val="008C0809"/>
    <w:rsid w:val="008C132C"/>
    <w:rsid w:val="008C3FD0"/>
    <w:rsid w:val="008C4497"/>
    <w:rsid w:val="008D27A5"/>
    <w:rsid w:val="008D2AAB"/>
    <w:rsid w:val="008D309C"/>
    <w:rsid w:val="008D4DBC"/>
    <w:rsid w:val="008D58F9"/>
    <w:rsid w:val="008D5B7D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B75"/>
    <w:rsid w:val="00903E0A"/>
    <w:rsid w:val="00904721"/>
    <w:rsid w:val="00907780"/>
    <w:rsid w:val="00907EDD"/>
    <w:rsid w:val="009107AD"/>
    <w:rsid w:val="00915568"/>
    <w:rsid w:val="0091737B"/>
    <w:rsid w:val="00917E0C"/>
    <w:rsid w:val="00920711"/>
    <w:rsid w:val="00921A1E"/>
    <w:rsid w:val="00922AC4"/>
    <w:rsid w:val="00924EA9"/>
    <w:rsid w:val="00925CE1"/>
    <w:rsid w:val="00925F5C"/>
    <w:rsid w:val="00926FF7"/>
    <w:rsid w:val="00930897"/>
    <w:rsid w:val="009320D2"/>
    <w:rsid w:val="009329FB"/>
    <w:rsid w:val="00932C77"/>
    <w:rsid w:val="0093417F"/>
    <w:rsid w:val="00934AC2"/>
    <w:rsid w:val="009361AA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70A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0B9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717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213"/>
    <w:rsid w:val="00A220FF"/>
    <w:rsid w:val="00A227E0"/>
    <w:rsid w:val="00A232E4"/>
    <w:rsid w:val="00A24AAD"/>
    <w:rsid w:val="00A25ECF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1DE0"/>
    <w:rsid w:val="00A720DC"/>
    <w:rsid w:val="00A803CF"/>
    <w:rsid w:val="00A8133F"/>
    <w:rsid w:val="00A82CB4"/>
    <w:rsid w:val="00A837A8"/>
    <w:rsid w:val="00A83C36"/>
    <w:rsid w:val="00A844EE"/>
    <w:rsid w:val="00A932BB"/>
    <w:rsid w:val="00A93579"/>
    <w:rsid w:val="00A93934"/>
    <w:rsid w:val="00A95D51"/>
    <w:rsid w:val="00A96E4C"/>
    <w:rsid w:val="00A972BE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C11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F8C"/>
    <w:rsid w:val="00B04E79"/>
    <w:rsid w:val="00B0579D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69D3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4223"/>
    <w:rsid w:val="00B65695"/>
    <w:rsid w:val="00B657CA"/>
    <w:rsid w:val="00B66526"/>
    <w:rsid w:val="00B665A3"/>
    <w:rsid w:val="00B715D8"/>
    <w:rsid w:val="00B73BB4"/>
    <w:rsid w:val="00B80532"/>
    <w:rsid w:val="00B82039"/>
    <w:rsid w:val="00B82454"/>
    <w:rsid w:val="00B852C3"/>
    <w:rsid w:val="00B90097"/>
    <w:rsid w:val="00B906CB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214B"/>
    <w:rsid w:val="00C040AB"/>
    <w:rsid w:val="00C0499B"/>
    <w:rsid w:val="00C05406"/>
    <w:rsid w:val="00C05CF0"/>
    <w:rsid w:val="00C119AC"/>
    <w:rsid w:val="00C14980"/>
    <w:rsid w:val="00C14EE6"/>
    <w:rsid w:val="00C151DA"/>
    <w:rsid w:val="00C151FC"/>
    <w:rsid w:val="00C152A1"/>
    <w:rsid w:val="00C159F0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E32"/>
    <w:rsid w:val="00CE6EA7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9DD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B3A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4FC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9FC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A6A"/>
    <w:rsid w:val="00E9241E"/>
    <w:rsid w:val="00E92EDF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CD6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4E0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E26"/>
    <w:rsid w:val="00F96602"/>
    <w:rsid w:val="00F9735A"/>
    <w:rsid w:val="00FA3129"/>
    <w:rsid w:val="00FA32FC"/>
    <w:rsid w:val="00FA59FD"/>
    <w:rsid w:val="00FA5D8C"/>
    <w:rsid w:val="00FA6403"/>
    <w:rsid w:val="00FB0EA7"/>
    <w:rsid w:val="00FB16CD"/>
    <w:rsid w:val="00FB6344"/>
    <w:rsid w:val="00FB73AE"/>
    <w:rsid w:val="00FC0DC8"/>
    <w:rsid w:val="00FC5388"/>
    <w:rsid w:val="00FC726C"/>
    <w:rsid w:val="00FD1B4B"/>
    <w:rsid w:val="00FD1B94"/>
    <w:rsid w:val="00FE19C5"/>
    <w:rsid w:val="00FE4286"/>
    <w:rsid w:val="00FE48C3"/>
    <w:rsid w:val="00FE50D7"/>
    <w:rsid w:val="00FE5909"/>
    <w:rsid w:val="00FE652E"/>
    <w:rsid w:val="00FE71FE"/>
    <w:rsid w:val="00FF0A28"/>
    <w:rsid w:val="00FF0B8B"/>
    <w:rsid w:val="00FF0E93"/>
    <w:rsid w:val="00FF13C3"/>
    <w:rsid w:val="00FF1E34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99B393-22B1-44E8-9A9A-57CEC973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E24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2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243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2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2435"/>
    <w:rPr>
      <w:b/>
      <w:bCs/>
    </w:rPr>
  </w:style>
  <w:style w:type="paragraph" w:styleId="Revision">
    <w:name w:val="Revision"/>
    <w:hidden/>
    <w:uiPriority w:val="99"/>
    <w:semiHidden/>
    <w:rsid w:val="00A71DE0"/>
    <w:rPr>
      <w:sz w:val="24"/>
      <w:szCs w:val="24"/>
    </w:rPr>
  </w:style>
  <w:style w:type="character" w:styleId="Hyperlink">
    <w:name w:val="Hyperlink"/>
    <w:basedOn w:val="DefaultParagraphFont"/>
    <w:unhideWhenUsed/>
    <w:rsid w:val="004411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1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737B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B77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1494</Words>
  <Characters>8634</Characters>
  <Application>Microsoft Office Word</Application>
  <DocSecurity>4</DocSecurity>
  <Lines>165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HB00081 (Committee Report (Substituted))</vt:lpstr>
    </vt:vector>
  </TitlesOfParts>
  <Company>State of Texas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26864</dc:subject>
  <dc:creator>State of Texas</dc:creator>
  <dc:description>HB 81 by Harrison-(H)Public Health (Substitute Document Number: 88R 20392)</dc:description>
  <cp:lastModifiedBy>Stacey Nicchio</cp:lastModifiedBy>
  <cp:revision>2</cp:revision>
  <cp:lastPrinted>2003-11-26T17:21:00Z</cp:lastPrinted>
  <dcterms:created xsi:type="dcterms:W3CDTF">2023-04-27T23:15:00Z</dcterms:created>
  <dcterms:modified xsi:type="dcterms:W3CDTF">2023-04-27T23:15:00Z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23.117.1045</vt:lpwstr>
  </property>
</Properties>
</file>