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2097B" w14:paraId="432395A3" w14:textId="77777777" w:rsidTr="00345119">
        <w:tc>
          <w:tcPr>
            <w:tcW w:w="9576" w:type="dxa"/>
            <w:noWrap/>
          </w:tcPr>
          <w:p w14:paraId="70CEA883" w14:textId="77777777" w:rsidR="008423E4" w:rsidRPr="0022177D" w:rsidRDefault="002B4DFE" w:rsidP="00925148">
            <w:pPr>
              <w:pStyle w:val="Heading1"/>
            </w:pPr>
            <w:r w:rsidRPr="00631897">
              <w:t>BILL ANALYSIS</w:t>
            </w:r>
          </w:p>
        </w:tc>
      </w:tr>
    </w:tbl>
    <w:p w14:paraId="4730655B" w14:textId="77777777" w:rsidR="008423E4" w:rsidRPr="0022177D" w:rsidRDefault="008423E4" w:rsidP="00925148">
      <w:pPr>
        <w:jc w:val="center"/>
      </w:pPr>
    </w:p>
    <w:p w14:paraId="26AD376A" w14:textId="77777777" w:rsidR="008423E4" w:rsidRPr="00B31F0E" w:rsidRDefault="008423E4" w:rsidP="00925148"/>
    <w:p w14:paraId="5E33B1CD" w14:textId="77777777" w:rsidR="008423E4" w:rsidRPr="00742794" w:rsidRDefault="008423E4" w:rsidP="009251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097B" w14:paraId="22D89AD9" w14:textId="77777777" w:rsidTr="00345119">
        <w:tc>
          <w:tcPr>
            <w:tcW w:w="9576" w:type="dxa"/>
          </w:tcPr>
          <w:p w14:paraId="0038EC94" w14:textId="2D1311C5" w:rsidR="008423E4" w:rsidRPr="00861995" w:rsidRDefault="002B4DFE" w:rsidP="00925148">
            <w:pPr>
              <w:jc w:val="right"/>
            </w:pPr>
            <w:r>
              <w:t>C.S.H.B. 118</w:t>
            </w:r>
          </w:p>
        </w:tc>
      </w:tr>
      <w:tr w:rsidR="0062097B" w14:paraId="5C739A70" w14:textId="77777777" w:rsidTr="00345119">
        <w:tc>
          <w:tcPr>
            <w:tcW w:w="9576" w:type="dxa"/>
          </w:tcPr>
          <w:p w14:paraId="6AB92955" w14:textId="2012FAE4" w:rsidR="008423E4" w:rsidRPr="00861995" w:rsidRDefault="002B4DFE" w:rsidP="00925148">
            <w:pPr>
              <w:jc w:val="right"/>
            </w:pPr>
            <w:r>
              <w:t xml:space="preserve">By: </w:t>
            </w:r>
            <w:r w:rsidR="004012A4">
              <w:t>Cortez</w:t>
            </w:r>
          </w:p>
        </w:tc>
      </w:tr>
      <w:tr w:rsidR="0062097B" w14:paraId="31E51F84" w14:textId="77777777" w:rsidTr="00345119">
        <w:tc>
          <w:tcPr>
            <w:tcW w:w="9576" w:type="dxa"/>
          </w:tcPr>
          <w:p w14:paraId="59F89E7E" w14:textId="01EC5D12" w:rsidR="008423E4" w:rsidRPr="00861995" w:rsidRDefault="002B4DFE" w:rsidP="00925148">
            <w:pPr>
              <w:jc w:val="right"/>
            </w:pPr>
            <w:r>
              <w:t>Insurance</w:t>
            </w:r>
          </w:p>
        </w:tc>
      </w:tr>
      <w:tr w:rsidR="0062097B" w14:paraId="41FC4534" w14:textId="77777777" w:rsidTr="00345119">
        <w:tc>
          <w:tcPr>
            <w:tcW w:w="9576" w:type="dxa"/>
          </w:tcPr>
          <w:p w14:paraId="3DF6D954" w14:textId="2530A376" w:rsidR="008423E4" w:rsidRDefault="002B4DFE" w:rsidP="00925148">
            <w:pPr>
              <w:jc w:val="right"/>
            </w:pPr>
            <w:r>
              <w:t>Committee Report (Substituted)</w:t>
            </w:r>
          </w:p>
        </w:tc>
      </w:tr>
    </w:tbl>
    <w:p w14:paraId="05F7C5FE" w14:textId="77777777" w:rsidR="008423E4" w:rsidRDefault="008423E4" w:rsidP="00925148">
      <w:pPr>
        <w:tabs>
          <w:tab w:val="right" w:pos="9360"/>
        </w:tabs>
      </w:pPr>
    </w:p>
    <w:p w14:paraId="0D735C8C" w14:textId="77777777" w:rsidR="008423E4" w:rsidRDefault="008423E4" w:rsidP="00925148"/>
    <w:p w14:paraId="1DB20DF9" w14:textId="77777777" w:rsidR="008423E4" w:rsidRDefault="008423E4" w:rsidP="009251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2097B" w14:paraId="603B13F5" w14:textId="77777777" w:rsidTr="00925148">
        <w:tc>
          <w:tcPr>
            <w:tcW w:w="9360" w:type="dxa"/>
          </w:tcPr>
          <w:p w14:paraId="52CEDC41" w14:textId="77777777" w:rsidR="008423E4" w:rsidRPr="00A8133F" w:rsidRDefault="002B4DFE" w:rsidP="009251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AE729A" w14:textId="77777777" w:rsidR="0053462B" w:rsidRDefault="0053462B" w:rsidP="00925148">
            <w:pPr>
              <w:pStyle w:val="Header"/>
              <w:jc w:val="both"/>
              <w:rPr>
                <w:b/>
              </w:rPr>
            </w:pPr>
          </w:p>
          <w:p w14:paraId="6558E3E0" w14:textId="12F11838" w:rsidR="001B36C1" w:rsidRDefault="002B4DFE" w:rsidP="00925148">
            <w:pPr>
              <w:jc w:val="both"/>
              <w:rPr>
                <w:bCs/>
              </w:rPr>
            </w:pPr>
            <w:r>
              <w:rPr>
                <w:bCs/>
              </w:rPr>
              <w:t>According to the American C</w:t>
            </w:r>
            <w:r w:rsidR="00EE7E09">
              <w:rPr>
                <w:bCs/>
              </w:rPr>
              <w:t>ancer Society, p</w:t>
            </w:r>
            <w:r w:rsidRPr="007C3D32">
              <w:rPr>
                <w:bCs/>
              </w:rPr>
              <w:t>rostate cancer is the second</w:t>
            </w:r>
            <w:r w:rsidR="006205B9">
              <w:rPr>
                <w:bCs/>
              </w:rPr>
              <w:t xml:space="preserve"> </w:t>
            </w:r>
            <w:r w:rsidRPr="007C3D32">
              <w:rPr>
                <w:bCs/>
              </w:rPr>
              <w:t>leading cause of cancer deaths among men in the United States and a</w:t>
            </w:r>
            <w:r w:rsidRPr="007C3D32">
              <w:rPr>
                <w:bCs/>
              </w:rPr>
              <w:t xml:space="preserve"> significant health</w:t>
            </w:r>
            <w:r w:rsidR="00FE2C72">
              <w:rPr>
                <w:bCs/>
              </w:rPr>
              <w:t xml:space="preserve"> </w:t>
            </w:r>
            <w:r w:rsidRPr="007C3D32">
              <w:rPr>
                <w:bCs/>
              </w:rPr>
              <w:t>care problem due to its high incidence. The clinical value of prostate cancer screening across a broad age range has been scientifically validated and endorsed by the American Urological Association, American Cancer Society, National Co</w:t>
            </w:r>
            <w:r w:rsidRPr="007C3D32">
              <w:rPr>
                <w:bCs/>
              </w:rPr>
              <w:t>mprehensive Cancer Network, American Society of Clinical Oncology, and American College</w:t>
            </w:r>
            <w:r w:rsidR="00FE2C72">
              <w:rPr>
                <w:bCs/>
              </w:rPr>
              <w:t xml:space="preserve"> of</w:t>
            </w:r>
            <w:r w:rsidRPr="007C3D32">
              <w:rPr>
                <w:bCs/>
              </w:rPr>
              <w:t xml:space="preserve"> Physicians-American Society of Internal Medicine. </w:t>
            </w:r>
          </w:p>
          <w:p w14:paraId="34A49501" w14:textId="77777777" w:rsidR="001B36C1" w:rsidRDefault="001B36C1" w:rsidP="00925148">
            <w:pPr>
              <w:jc w:val="both"/>
              <w:rPr>
                <w:bCs/>
              </w:rPr>
            </w:pPr>
          </w:p>
          <w:p w14:paraId="23C60FBF" w14:textId="23DDF001" w:rsidR="007C3D32" w:rsidRDefault="002B4DFE" w:rsidP="00925148">
            <w:pPr>
              <w:jc w:val="both"/>
              <w:rPr>
                <w:bCs/>
              </w:rPr>
            </w:pPr>
            <w:r w:rsidRPr="007C3D32">
              <w:rPr>
                <w:bCs/>
              </w:rPr>
              <w:t>Early detection for men at high risk improves outcomes, and targeting men with risk factors for prostate cancer c</w:t>
            </w:r>
            <w:r w:rsidRPr="007C3D32">
              <w:rPr>
                <w:bCs/>
              </w:rPr>
              <w:t xml:space="preserve">an reduce health disparities in the populations most impacted by this disease. Existing law requires </w:t>
            </w:r>
            <w:r w:rsidR="001B36C1">
              <w:rPr>
                <w:bCs/>
              </w:rPr>
              <w:t>certain health benefit plans</w:t>
            </w:r>
            <w:r w:rsidRPr="007C3D32">
              <w:rPr>
                <w:bCs/>
              </w:rPr>
              <w:t xml:space="preserve"> to provide coverage for </w:t>
            </w:r>
            <w:r w:rsidR="006B1277">
              <w:rPr>
                <w:bCs/>
              </w:rPr>
              <w:t>prostate cancer</w:t>
            </w:r>
            <w:r w:rsidRPr="007C3D32">
              <w:rPr>
                <w:bCs/>
              </w:rPr>
              <w:t xml:space="preserve"> screening for these at-risk men. However, the cost of preventive care screening servic</w:t>
            </w:r>
            <w:r w:rsidRPr="007C3D32">
              <w:rPr>
                <w:bCs/>
              </w:rPr>
              <w:t xml:space="preserve">es may deter or prevent men, especially those in underserved populations, from </w:t>
            </w:r>
            <w:r w:rsidR="002A3D21">
              <w:rPr>
                <w:bCs/>
              </w:rPr>
              <w:t xml:space="preserve">undergoing tests to </w:t>
            </w:r>
            <w:r w:rsidRPr="007C3D32">
              <w:rPr>
                <w:bCs/>
              </w:rPr>
              <w:t>detect early-stage prostate cancer.</w:t>
            </w:r>
            <w:r>
              <w:t xml:space="preserve"> </w:t>
            </w:r>
            <w:r w:rsidR="00EE7E09">
              <w:t>C.S.</w:t>
            </w:r>
            <w:r w:rsidRPr="007C3D32">
              <w:rPr>
                <w:bCs/>
              </w:rPr>
              <w:t>H</w:t>
            </w:r>
            <w:r w:rsidR="00EE7E09">
              <w:rPr>
                <w:bCs/>
              </w:rPr>
              <w:t>.</w:t>
            </w:r>
            <w:r w:rsidRPr="007C3D32">
              <w:rPr>
                <w:bCs/>
              </w:rPr>
              <w:t>B</w:t>
            </w:r>
            <w:r w:rsidR="00EE7E09">
              <w:rPr>
                <w:bCs/>
              </w:rPr>
              <w:t>.</w:t>
            </w:r>
            <w:r w:rsidRPr="007C3D32">
              <w:rPr>
                <w:bCs/>
              </w:rPr>
              <w:t xml:space="preserve"> 118 </w:t>
            </w:r>
            <w:r w:rsidR="00EE7E09">
              <w:rPr>
                <w:bCs/>
              </w:rPr>
              <w:t>seeks to address this issue by</w:t>
            </w:r>
            <w:r w:rsidRPr="007C3D32">
              <w:rPr>
                <w:bCs/>
              </w:rPr>
              <w:t xml:space="preserve"> prohibit</w:t>
            </w:r>
            <w:r w:rsidR="00EE7E09">
              <w:rPr>
                <w:bCs/>
              </w:rPr>
              <w:t>ing</w:t>
            </w:r>
            <w:r w:rsidRPr="007C3D32">
              <w:rPr>
                <w:bCs/>
              </w:rPr>
              <w:t xml:space="preserve"> health benefit plans from charging a</w:t>
            </w:r>
            <w:r w:rsidR="00EE7E09">
              <w:rPr>
                <w:bCs/>
              </w:rPr>
              <w:t>ny premium,</w:t>
            </w:r>
            <w:r w:rsidRPr="007C3D32">
              <w:rPr>
                <w:bCs/>
              </w:rPr>
              <w:t xml:space="preserve"> copay</w:t>
            </w:r>
            <w:r w:rsidR="00EE7E09">
              <w:rPr>
                <w:bCs/>
              </w:rPr>
              <w:t>ment</w:t>
            </w:r>
            <w:r w:rsidRPr="007C3D32">
              <w:rPr>
                <w:bCs/>
              </w:rPr>
              <w:t xml:space="preserve">, </w:t>
            </w:r>
            <w:r w:rsidRPr="007C3D32">
              <w:rPr>
                <w:bCs/>
              </w:rPr>
              <w:t>deductible, coinsurance</w:t>
            </w:r>
            <w:r w:rsidR="00EE7E09">
              <w:rPr>
                <w:bCs/>
              </w:rPr>
              <w:t xml:space="preserve">, </w:t>
            </w:r>
            <w:r w:rsidR="00EE7E09" w:rsidRPr="00EE7E09">
              <w:rPr>
                <w:bCs/>
              </w:rPr>
              <w:t xml:space="preserve">or any other form of cost sharing for a covered benefit under the required coverage for </w:t>
            </w:r>
            <w:r w:rsidR="001B36C1">
              <w:rPr>
                <w:bCs/>
              </w:rPr>
              <w:t>prostate cancer screening</w:t>
            </w:r>
            <w:r w:rsidRPr="007C3D32">
              <w:rPr>
                <w:bCs/>
              </w:rPr>
              <w:t xml:space="preserve">. </w:t>
            </w:r>
          </w:p>
          <w:p w14:paraId="11BECFEB" w14:textId="0A0959C8" w:rsidR="00CE11EC" w:rsidRPr="007C3D32" w:rsidRDefault="00CE11EC" w:rsidP="00925148">
            <w:pPr>
              <w:jc w:val="both"/>
              <w:rPr>
                <w:bCs/>
              </w:rPr>
            </w:pPr>
          </w:p>
        </w:tc>
      </w:tr>
      <w:tr w:rsidR="0062097B" w14:paraId="23906E4A" w14:textId="77777777" w:rsidTr="00925148">
        <w:tc>
          <w:tcPr>
            <w:tcW w:w="9360" w:type="dxa"/>
          </w:tcPr>
          <w:p w14:paraId="55797C13" w14:textId="77777777" w:rsidR="0017725B" w:rsidRDefault="002B4DFE" w:rsidP="009251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99D3CC" w14:textId="77777777" w:rsidR="0017725B" w:rsidRDefault="0017725B" w:rsidP="00925148">
            <w:pPr>
              <w:rPr>
                <w:b/>
                <w:u w:val="single"/>
              </w:rPr>
            </w:pPr>
          </w:p>
          <w:p w14:paraId="185F0C5C" w14:textId="77777777" w:rsidR="001935D2" w:rsidRPr="001935D2" w:rsidRDefault="002B4DFE" w:rsidP="00925148">
            <w:pPr>
              <w:jc w:val="both"/>
            </w:pPr>
            <w:r>
              <w:t>It is the committee's opinion that this bill does not expressly create a criminal offens</w:t>
            </w:r>
            <w:r>
              <w:t>e, increase the punishment for an existing criminal offense or category of offenses, or change the eligibility of a person for community supervision, parole, or mandatory supervision.</w:t>
            </w:r>
          </w:p>
          <w:p w14:paraId="1169D155" w14:textId="77777777" w:rsidR="0017725B" w:rsidRPr="0017725B" w:rsidRDefault="0017725B" w:rsidP="00925148">
            <w:pPr>
              <w:rPr>
                <w:b/>
                <w:u w:val="single"/>
              </w:rPr>
            </w:pPr>
          </w:p>
        </w:tc>
      </w:tr>
      <w:tr w:rsidR="0062097B" w14:paraId="35F8B126" w14:textId="77777777" w:rsidTr="00925148">
        <w:tc>
          <w:tcPr>
            <w:tcW w:w="9360" w:type="dxa"/>
          </w:tcPr>
          <w:p w14:paraId="76E3E080" w14:textId="77777777" w:rsidR="008423E4" w:rsidRPr="00A8133F" w:rsidRDefault="002B4DFE" w:rsidP="009251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28839E" w14:textId="77777777" w:rsidR="008423E4" w:rsidRDefault="008423E4" w:rsidP="00925148"/>
          <w:p w14:paraId="704DF446" w14:textId="77777777" w:rsidR="001935D2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</w:t>
            </w:r>
            <w:r>
              <w:t>es not expressly grant any additional rulemaking authority to a state officer, department, agency, or institution.</w:t>
            </w:r>
          </w:p>
          <w:p w14:paraId="79A12440" w14:textId="77777777" w:rsidR="008423E4" w:rsidRPr="00E21FDC" w:rsidRDefault="008423E4" w:rsidP="00925148">
            <w:pPr>
              <w:rPr>
                <w:b/>
              </w:rPr>
            </w:pPr>
          </w:p>
        </w:tc>
      </w:tr>
      <w:tr w:rsidR="0062097B" w14:paraId="565E66DF" w14:textId="77777777" w:rsidTr="00925148">
        <w:tc>
          <w:tcPr>
            <w:tcW w:w="9360" w:type="dxa"/>
          </w:tcPr>
          <w:p w14:paraId="20B0C910" w14:textId="77777777" w:rsidR="008423E4" w:rsidRPr="00A8133F" w:rsidRDefault="002B4DFE" w:rsidP="009251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1E1E84" w14:textId="77777777" w:rsidR="008423E4" w:rsidRDefault="008423E4" w:rsidP="00925148"/>
          <w:p w14:paraId="0F39C347" w14:textId="144D2B56" w:rsidR="007A09E9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80EBD">
              <w:t>H.B. 1</w:t>
            </w:r>
            <w:r w:rsidR="003302B2">
              <w:t>1</w:t>
            </w:r>
            <w:r w:rsidR="00680EBD">
              <w:t>8</w:t>
            </w:r>
            <w:r w:rsidR="001935D2">
              <w:t xml:space="preserve"> amends the Insurance Code to </w:t>
            </w:r>
            <w:r w:rsidR="00057C8D">
              <w:t>prohibit</w:t>
            </w:r>
            <w:r w:rsidR="001935D2">
              <w:t xml:space="preserve"> a health benefit plan that provides coverage </w:t>
            </w:r>
            <w:r w:rsidR="001935D2" w:rsidRPr="00DD6EBE">
              <w:t xml:space="preserve">for </w:t>
            </w:r>
            <w:r w:rsidR="00DD6EBE">
              <w:t xml:space="preserve">an annual diagnostic examination for the detection of prostate cancer as </w:t>
            </w:r>
            <w:r w:rsidR="00A07893">
              <w:t>required</w:t>
            </w:r>
            <w:r w:rsidR="00DD6EBE">
              <w:t xml:space="preserve"> by state law</w:t>
            </w:r>
            <w:r w:rsidR="001935D2">
              <w:t xml:space="preserve"> from charging any premium, copayment, coinsurance, deductible, or any other form of cost sharing </w:t>
            </w:r>
            <w:r w:rsidR="001935D2" w:rsidRPr="00DD6EBE">
              <w:t xml:space="preserve">for a covered </w:t>
            </w:r>
            <w:r w:rsidR="00EB2856" w:rsidRPr="00DD6EBE">
              <w:t xml:space="preserve">benefit </w:t>
            </w:r>
            <w:r w:rsidR="007432CC" w:rsidRPr="00DD6EBE">
              <w:t>under the</w:t>
            </w:r>
            <w:r w:rsidR="00EB2856" w:rsidRPr="00DD6EBE">
              <w:t xml:space="preserve"> required coverage</w:t>
            </w:r>
            <w:r w:rsidR="00DD6EBE">
              <w:t>, which include a physical examination and, for certain at-risk males,</w:t>
            </w:r>
            <w:r w:rsidR="00EB2856" w:rsidRPr="00DD6EBE">
              <w:t xml:space="preserve"> </w:t>
            </w:r>
            <w:r w:rsidR="00E87D80" w:rsidRPr="00DD6EBE">
              <w:t>a prostate-specific antigen test</w:t>
            </w:r>
            <w:r w:rsidR="00E87D80">
              <w:t>.</w:t>
            </w:r>
            <w:r w:rsidR="00EB2856">
              <w:t xml:space="preserve"> </w:t>
            </w:r>
          </w:p>
          <w:p w14:paraId="7F59E3E8" w14:textId="77777777" w:rsidR="007A09E9" w:rsidRDefault="007A09E9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16C437" w14:textId="2556A2E0" w:rsidR="00EE753C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118 revises the applicability of statutory provisions governing </w:t>
            </w:r>
            <w:r w:rsidR="00A205BF">
              <w:t xml:space="preserve">health benefit plan </w:t>
            </w:r>
            <w:r>
              <w:t xml:space="preserve">coverage </w:t>
            </w:r>
            <w:r w:rsidR="00DD6EBE">
              <w:t>for certain tests to detect</w:t>
            </w:r>
            <w:r>
              <w:t xml:space="preserve"> prostate cancer as follows:</w:t>
            </w:r>
          </w:p>
          <w:p w14:paraId="0DC19AA3" w14:textId="751B497F" w:rsidR="00EE753C" w:rsidRDefault="002B4DFE" w:rsidP="0092514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expands the applicability to include the following:</w:t>
            </w:r>
          </w:p>
          <w:p w14:paraId="6BC11CF2" w14:textId="21DC0D63" w:rsidR="00EE753C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Lloyd's plan;</w:t>
            </w:r>
          </w:p>
          <w:p w14:paraId="11FA64B0" w14:textId="5FCADB0C" w:rsidR="00D73C6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reciprocal and interinsurance exchange;</w:t>
            </w:r>
          </w:p>
          <w:p w14:paraId="04423607" w14:textId="1A5731F7" w:rsidR="00D73C6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small employer health benefit plan subject to </w:t>
            </w:r>
            <w:r w:rsidRPr="00D73C62">
              <w:t>the Health Insurance Portability and Availability Act</w:t>
            </w:r>
            <w:r>
              <w:t>,</w:t>
            </w:r>
            <w:r>
              <w:t xml:space="preserve"> including</w:t>
            </w:r>
            <w:r w:rsidRPr="00D73C62">
              <w:t xml:space="preserve"> coverage provided through a health group cooperative</w:t>
            </w:r>
            <w:r>
              <w:t xml:space="preserve"> under that act;</w:t>
            </w:r>
          </w:p>
          <w:p w14:paraId="1E24A1E1" w14:textId="173C0719" w:rsidR="00D73C6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standard consumer choice of benefits </w:t>
            </w:r>
            <w:r w:rsidR="000151B2">
              <w:t xml:space="preserve">health benefit </w:t>
            </w:r>
            <w:r>
              <w:t>plan;</w:t>
            </w:r>
          </w:p>
          <w:p w14:paraId="74E90B6B" w14:textId="4460A4D6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basic coverage plan under the Texas Employees Group Benefits Act;</w:t>
            </w:r>
          </w:p>
          <w:p w14:paraId="4AA08D98" w14:textId="7FD2863B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TRS-Care and TRS-ActiveCare;</w:t>
            </w:r>
          </w:p>
          <w:p w14:paraId="4A748C14" w14:textId="1E88FB6C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basic coverage unde</w:t>
            </w:r>
            <w:r>
              <w:t>r the State University Employees Uniform Insurance Benefits Act;</w:t>
            </w:r>
          </w:p>
          <w:p w14:paraId="08222E09" w14:textId="03F59514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0151B2">
              <w:t>group health coverage made available by a school district</w:t>
            </w:r>
            <w:r>
              <w:t>;</w:t>
            </w:r>
          </w:p>
          <w:p w14:paraId="7A501A7C" w14:textId="0CEDA9B8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Medicaid and CHIP;</w:t>
            </w:r>
          </w:p>
          <w:p w14:paraId="3AB58E1F" w14:textId="40759CD9" w:rsidR="000151B2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0151B2">
              <w:t>a regional or local health care program</w:t>
            </w:r>
            <w:r>
              <w:t xml:space="preserve"> that contracts with health care providers to provide services directly to the employees of participating small employers and their dependents;</w:t>
            </w:r>
            <w:r w:rsidR="00BF7483">
              <w:t xml:space="preserve"> and</w:t>
            </w:r>
          </w:p>
          <w:p w14:paraId="6AA52556" w14:textId="5E25A21F" w:rsidR="00BF7483" w:rsidRDefault="002B4DFE" w:rsidP="00925148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BF7483">
              <w:t>a self-funded health benefit plan sponsored by a professional employer organization</w:t>
            </w:r>
            <w:r>
              <w:t>;</w:t>
            </w:r>
          </w:p>
          <w:p w14:paraId="4659A165" w14:textId="6EDF1698" w:rsidR="00EE753C" w:rsidRDefault="002B4DFE" w:rsidP="0092514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 language specif</w:t>
            </w:r>
            <w:r>
              <w:t>ying that the provisions apply to a multiple employer welfare arrangement only to the extent permitted by the federal Employee Retirement Income Security Act of 19</w:t>
            </w:r>
            <w:r w:rsidR="00D73C62">
              <w:t>74;</w:t>
            </w:r>
            <w:r>
              <w:t xml:space="preserve"> and</w:t>
            </w:r>
          </w:p>
          <w:p w14:paraId="3FC01DD5" w14:textId="3522DC75" w:rsidR="00B5071C" w:rsidRDefault="002B4DFE" w:rsidP="0092514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 a plan that provides health and accident coverage through a risk pool</w:t>
            </w:r>
            <w:r w:rsidR="00392AFC">
              <w:t xml:space="preserve"> created under the Texas Political Subdivision Employees Uniform Group Benefits Act</w:t>
            </w:r>
            <w:r w:rsidR="001B36C1">
              <w:t xml:space="preserve"> from the list of applicable plans</w:t>
            </w:r>
            <w:r>
              <w:t xml:space="preserve">. </w:t>
            </w:r>
          </w:p>
          <w:p w14:paraId="7EA10D09" w14:textId="77777777" w:rsidR="009B4291" w:rsidRDefault="009B4291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813106" w14:textId="1E44907A" w:rsidR="000E5FB3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80EBD">
              <w:t>H.B.</w:t>
            </w:r>
            <w:r w:rsidR="003302B2">
              <w:t xml:space="preserve"> 11</w:t>
            </w:r>
            <w:r w:rsidR="00680EBD">
              <w:t xml:space="preserve">8 </w:t>
            </w:r>
            <w:r w:rsidR="007338AA">
              <w:t xml:space="preserve">applies </w:t>
            </w:r>
            <w:r w:rsidR="007338AA" w:rsidRPr="007338AA">
              <w:t>only to a health benefit plan delivered, issued for delivery, or renewed on or after January 1, 202</w:t>
            </w:r>
            <w:r w:rsidR="00680EBD">
              <w:t>4</w:t>
            </w:r>
            <w:r w:rsidR="007338AA">
              <w:t>.</w:t>
            </w:r>
            <w:r w:rsidR="009E4E59">
              <w:t xml:space="preserve"> The bill provides for the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79F8DD70" w14:textId="77777777" w:rsidR="00034E56" w:rsidRDefault="00034E56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4B48EF" w14:textId="2D3BF79F" w:rsidR="00A00040" w:rsidRPr="009C36CD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80EBD">
              <w:t>H.B. 1</w:t>
            </w:r>
            <w:r w:rsidR="003302B2">
              <w:t>1</w:t>
            </w:r>
            <w:r w:rsidR="00680EBD">
              <w:t xml:space="preserve">8 </w:t>
            </w:r>
            <w:r>
              <w:t>r</w:t>
            </w:r>
            <w:r>
              <w:t>epeals Section 1575.159, Insurance Code</w:t>
            </w:r>
            <w:r w:rsidR="00EB4900">
              <w:t>.</w:t>
            </w:r>
          </w:p>
          <w:p w14:paraId="7139EDA2" w14:textId="77777777" w:rsidR="008423E4" w:rsidRPr="00835628" w:rsidRDefault="008423E4" w:rsidP="00925148">
            <w:pPr>
              <w:rPr>
                <w:b/>
              </w:rPr>
            </w:pPr>
          </w:p>
        </w:tc>
      </w:tr>
      <w:tr w:rsidR="0062097B" w14:paraId="1EF454D8" w14:textId="77777777" w:rsidTr="00925148">
        <w:tc>
          <w:tcPr>
            <w:tcW w:w="9360" w:type="dxa"/>
          </w:tcPr>
          <w:p w14:paraId="7E9D5F23" w14:textId="77777777" w:rsidR="008423E4" w:rsidRPr="00A8133F" w:rsidRDefault="002B4DFE" w:rsidP="009251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57B1A8" w14:textId="77777777" w:rsidR="008423E4" w:rsidRDefault="008423E4" w:rsidP="00925148"/>
          <w:p w14:paraId="1D476242" w14:textId="2F74FD05" w:rsidR="008423E4" w:rsidRPr="003624F2" w:rsidRDefault="002B4DFE" w:rsidP="00925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302B2">
              <w:t>3</w:t>
            </w:r>
            <w:r>
              <w:t>.</w:t>
            </w:r>
          </w:p>
          <w:p w14:paraId="56914AED" w14:textId="77777777" w:rsidR="008423E4" w:rsidRPr="00233FDB" w:rsidRDefault="008423E4" w:rsidP="00925148">
            <w:pPr>
              <w:rPr>
                <w:b/>
              </w:rPr>
            </w:pPr>
          </w:p>
        </w:tc>
      </w:tr>
      <w:tr w:rsidR="0062097B" w14:paraId="26FE14BB" w14:textId="77777777" w:rsidTr="00925148">
        <w:tc>
          <w:tcPr>
            <w:tcW w:w="9360" w:type="dxa"/>
          </w:tcPr>
          <w:p w14:paraId="1F332730" w14:textId="77777777" w:rsidR="004012A4" w:rsidRDefault="002B4DFE" w:rsidP="009251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5B00724" w14:textId="77777777" w:rsidR="002B2822" w:rsidRDefault="002B2822" w:rsidP="00925148">
            <w:pPr>
              <w:jc w:val="both"/>
            </w:pPr>
          </w:p>
          <w:p w14:paraId="2F2AE297" w14:textId="22ACE890" w:rsidR="002B2822" w:rsidRDefault="002B4DFE" w:rsidP="00925148">
            <w:pPr>
              <w:jc w:val="both"/>
            </w:pPr>
            <w:r>
              <w:t xml:space="preserve">While C.S.H.B. 118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5E62A105" w14:textId="47011F1E" w:rsidR="002B2822" w:rsidRDefault="002B2822" w:rsidP="00925148">
            <w:pPr>
              <w:jc w:val="both"/>
            </w:pPr>
          </w:p>
          <w:p w14:paraId="0933E5A8" w14:textId="615AE268" w:rsidR="00DF16A0" w:rsidRPr="00DF16A0" w:rsidRDefault="002B4DFE" w:rsidP="00925148">
            <w:pPr>
              <w:jc w:val="both"/>
            </w:pPr>
            <w:r>
              <w:t xml:space="preserve">The substitute does not include a provision </w:t>
            </w:r>
            <w:r w:rsidR="00392AFC">
              <w:t>from</w:t>
            </w:r>
            <w:r>
              <w:t xml:space="preserve"> the introduced that made </w:t>
            </w:r>
            <w:r w:rsidR="00A205BF">
              <w:t xml:space="preserve">statutory </w:t>
            </w:r>
            <w:r w:rsidR="00E73113">
              <w:t>provisions</w:t>
            </w:r>
            <w:r>
              <w:t xml:space="preserve"> </w:t>
            </w:r>
            <w:r w:rsidR="00A205BF">
              <w:t>governing health benefit plan coverage for</w:t>
            </w:r>
            <w:r>
              <w:t xml:space="preserve"> </w:t>
            </w:r>
            <w:r w:rsidR="00A4265D">
              <w:t xml:space="preserve">certain </w:t>
            </w:r>
            <w:r>
              <w:t xml:space="preserve">tests </w:t>
            </w:r>
            <w:r w:rsidR="00A4265D">
              <w:t>to detect</w:t>
            </w:r>
            <w:r w:rsidR="00E73113">
              <w:t xml:space="preserve"> prostate cancer</w:t>
            </w:r>
            <w:r>
              <w:t xml:space="preserve"> applicable to health benefit</w:t>
            </w:r>
            <w:r w:rsidR="00A4265D">
              <w:t xml:space="preserve">s </w:t>
            </w:r>
            <w:r>
              <w:t xml:space="preserve">provided by or through a church benefits board. </w:t>
            </w:r>
            <w:r w:rsidR="00E73113">
              <w:t xml:space="preserve">The substitute removes </w:t>
            </w:r>
            <w:r w:rsidR="00853361">
              <w:t xml:space="preserve">a health benefit </w:t>
            </w:r>
            <w:r w:rsidR="00392AFC">
              <w:t xml:space="preserve">plan that provides </w:t>
            </w:r>
            <w:r w:rsidR="00853361">
              <w:t>health and accident coverage through a risk pool created under the Texas Political Subdivision Employees Uniform Group Benefits Act from the applicability of such provisions</w:t>
            </w:r>
            <w:r w:rsidR="00A07893">
              <w:t>, whereas the introduced did not</w:t>
            </w:r>
            <w:r w:rsidR="00853361">
              <w:t xml:space="preserve">. </w:t>
            </w:r>
          </w:p>
        </w:tc>
      </w:tr>
    </w:tbl>
    <w:p w14:paraId="1CF6DF56" w14:textId="77777777" w:rsidR="008423E4" w:rsidRPr="00BE0E75" w:rsidRDefault="008423E4" w:rsidP="00925148">
      <w:pPr>
        <w:jc w:val="both"/>
        <w:rPr>
          <w:rFonts w:ascii="Arial" w:hAnsi="Arial"/>
          <w:sz w:val="16"/>
          <w:szCs w:val="16"/>
        </w:rPr>
      </w:pPr>
    </w:p>
    <w:p w14:paraId="45E2A4A8" w14:textId="77777777" w:rsidR="004108C3" w:rsidRPr="008423E4" w:rsidRDefault="004108C3" w:rsidP="009251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EBEA" w14:textId="77777777" w:rsidR="00000000" w:rsidRDefault="002B4DFE">
      <w:r>
        <w:separator/>
      </w:r>
    </w:p>
  </w:endnote>
  <w:endnote w:type="continuationSeparator" w:id="0">
    <w:p w14:paraId="135FAC95" w14:textId="77777777" w:rsidR="00000000" w:rsidRDefault="002B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B60F" w14:textId="77777777" w:rsidR="00F03DF6" w:rsidRDefault="00F0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097B" w14:paraId="5B443699" w14:textId="77777777" w:rsidTr="009C1E9A">
      <w:trPr>
        <w:cantSplit/>
      </w:trPr>
      <w:tc>
        <w:tcPr>
          <w:tcW w:w="0" w:type="pct"/>
        </w:tcPr>
        <w:p w14:paraId="222B86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E652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F23A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BF4C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E70F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97B" w14:paraId="582133F2" w14:textId="77777777" w:rsidTr="009C1E9A">
      <w:trPr>
        <w:cantSplit/>
      </w:trPr>
      <w:tc>
        <w:tcPr>
          <w:tcW w:w="0" w:type="pct"/>
        </w:tcPr>
        <w:p w14:paraId="62EF7C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76CADA" w14:textId="0F6C493F" w:rsidR="00EC379B" w:rsidRPr="009C1E9A" w:rsidRDefault="002B4D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24483-D</w:t>
          </w:r>
        </w:p>
      </w:tc>
      <w:tc>
        <w:tcPr>
          <w:tcW w:w="2453" w:type="pct"/>
        </w:tcPr>
        <w:p w14:paraId="2050D5A7" w14:textId="0E028297" w:rsidR="00EC379B" w:rsidRDefault="002B4D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659B">
            <w:t>23.110.81</w:t>
          </w:r>
          <w:r>
            <w:fldChar w:fldCharType="end"/>
          </w:r>
        </w:p>
      </w:tc>
    </w:tr>
    <w:tr w:rsidR="0062097B" w14:paraId="384FC44B" w14:textId="77777777" w:rsidTr="009C1E9A">
      <w:trPr>
        <w:cantSplit/>
      </w:trPr>
      <w:tc>
        <w:tcPr>
          <w:tcW w:w="0" w:type="pct"/>
        </w:tcPr>
        <w:p w14:paraId="0CD2A1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8317BD" w14:textId="63BB21D3" w:rsidR="00EC379B" w:rsidRPr="009C1E9A" w:rsidRDefault="002B4D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22801</w:t>
          </w:r>
        </w:p>
      </w:tc>
      <w:tc>
        <w:tcPr>
          <w:tcW w:w="2453" w:type="pct"/>
        </w:tcPr>
        <w:p w14:paraId="4B325E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5DD2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97B" w14:paraId="34BE2DC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2A31FB" w14:textId="39F51BE9" w:rsidR="00EC379B" w:rsidRDefault="002B4D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6727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8CC67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EEEF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C873" w14:textId="77777777" w:rsidR="00F03DF6" w:rsidRDefault="00F0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E9CE" w14:textId="77777777" w:rsidR="00000000" w:rsidRDefault="002B4DFE">
      <w:r>
        <w:separator/>
      </w:r>
    </w:p>
  </w:footnote>
  <w:footnote w:type="continuationSeparator" w:id="0">
    <w:p w14:paraId="3D6AD6CD" w14:textId="77777777" w:rsidR="00000000" w:rsidRDefault="002B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CAF2" w14:textId="77777777" w:rsidR="00F03DF6" w:rsidRDefault="00F0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BA47" w14:textId="77777777" w:rsidR="00F03DF6" w:rsidRDefault="00F03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B6C" w14:textId="77777777" w:rsidR="00F03DF6" w:rsidRDefault="00F0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D49"/>
    <w:multiLevelType w:val="hybridMultilevel"/>
    <w:tmpl w:val="D52EBE6C"/>
    <w:lvl w:ilvl="0" w:tplc="2730D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6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48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88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CA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4E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2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01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A3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46E"/>
    <w:multiLevelType w:val="hybridMultilevel"/>
    <w:tmpl w:val="F4D0592A"/>
    <w:lvl w:ilvl="0" w:tplc="BC4AF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AE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42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0D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87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01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4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10E"/>
    <w:multiLevelType w:val="hybridMultilevel"/>
    <w:tmpl w:val="53B25130"/>
    <w:lvl w:ilvl="0" w:tplc="6E121E64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3E7C8B7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BC367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8ED66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2162DFA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ED84F8E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52C00A9E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8D46245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9CE6BF80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A2C1FA2"/>
    <w:multiLevelType w:val="hybridMultilevel"/>
    <w:tmpl w:val="5F7CB546"/>
    <w:lvl w:ilvl="0" w:tplc="39783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6C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C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EE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C0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A5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E4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A7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035"/>
    <w:rsid w:val="00014AF0"/>
    <w:rsid w:val="000151B2"/>
    <w:rsid w:val="000155D6"/>
    <w:rsid w:val="00015D4E"/>
    <w:rsid w:val="00016886"/>
    <w:rsid w:val="00020C1E"/>
    <w:rsid w:val="00020E9B"/>
    <w:rsid w:val="0002195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E56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C8D"/>
    <w:rsid w:val="0006022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FB3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4F2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F56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5D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394"/>
    <w:rsid w:val="001B36C1"/>
    <w:rsid w:val="001B3BFA"/>
    <w:rsid w:val="001B5494"/>
    <w:rsid w:val="001B75B8"/>
    <w:rsid w:val="001C1230"/>
    <w:rsid w:val="001C60B5"/>
    <w:rsid w:val="001C61B0"/>
    <w:rsid w:val="001C7957"/>
    <w:rsid w:val="001C7DB8"/>
    <w:rsid w:val="001C7EA8"/>
    <w:rsid w:val="001D0C10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35A"/>
    <w:rsid w:val="0022177D"/>
    <w:rsid w:val="00224C37"/>
    <w:rsid w:val="0022712F"/>
    <w:rsid w:val="00227ED1"/>
    <w:rsid w:val="002304DF"/>
    <w:rsid w:val="0023341D"/>
    <w:rsid w:val="002338DA"/>
    <w:rsid w:val="00233D66"/>
    <w:rsid w:val="00233FDB"/>
    <w:rsid w:val="00234F58"/>
    <w:rsid w:val="0023507D"/>
    <w:rsid w:val="0023659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859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1F6"/>
    <w:rsid w:val="00296FF0"/>
    <w:rsid w:val="002A17C0"/>
    <w:rsid w:val="002A3D21"/>
    <w:rsid w:val="002A48DF"/>
    <w:rsid w:val="002A5A84"/>
    <w:rsid w:val="002A6E6F"/>
    <w:rsid w:val="002A74E4"/>
    <w:rsid w:val="002A7CFE"/>
    <w:rsid w:val="002B26DD"/>
    <w:rsid w:val="002B2822"/>
    <w:rsid w:val="002B2870"/>
    <w:rsid w:val="002B391B"/>
    <w:rsid w:val="002B4DFE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2B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9F9"/>
    <w:rsid w:val="00350DD4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271"/>
    <w:rsid w:val="00370155"/>
    <w:rsid w:val="003712D5"/>
    <w:rsid w:val="00372325"/>
    <w:rsid w:val="003747DF"/>
    <w:rsid w:val="00377E3D"/>
    <w:rsid w:val="003847E8"/>
    <w:rsid w:val="0038731D"/>
    <w:rsid w:val="00387B60"/>
    <w:rsid w:val="00390098"/>
    <w:rsid w:val="00392AFC"/>
    <w:rsid w:val="00392DA1"/>
    <w:rsid w:val="00393718"/>
    <w:rsid w:val="00394D94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0A"/>
    <w:rsid w:val="003D726D"/>
    <w:rsid w:val="003E0875"/>
    <w:rsid w:val="003E0BB8"/>
    <w:rsid w:val="003E6CB0"/>
    <w:rsid w:val="003F1F5E"/>
    <w:rsid w:val="003F286A"/>
    <w:rsid w:val="003F2F53"/>
    <w:rsid w:val="003F77F8"/>
    <w:rsid w:val="00400ACD"/>
    <w:rsid w:val="004012A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65"/>
    <w:rsid w:val="004174CD"/>
    <w:rsid w:val="004241AA"/>
    <w:rsid w:val="0042422E"/>
    <w:rsid w:val="0043190E"/>
    <w:rsid w:val="004320D6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7427"/>
    <w:rsid w:val="00461B69"/>
    <w:rsid w:val="00462B3D"/>
    <w:rsid w:val="00470412"/>
    <w:rsid w:val="00471BC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61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62B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AF8"/>
    <w:rsid w:val="005C1496"/>
    <w:rsid w:val="005C17C5"/>
    <w:rsid w:val="005C29F9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47B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35B"/>
    <w:rsid w:val="00605F7B"/>
    <w:rsid w:val="00607E64"/>
    <w:rsid w:val="006106E9"/>
    <w:rsid w:val="0061159E"/>
    <w:rsid w:val="00614633"/>
    <w:rsid w:val="00614BC8"/>
    <w:rsid w:val="006151FB"/>
    <w:rsid w:val="00617411"/>
    <w:rsid w:val="006205B9"/>
    <w:rsid w:val="0062097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D25"/>
    <w:rsid w:val="00662B77"/>
    <w:rsid w:val="00662D0E"/>
    <w:rsid w:val="00663265"/>
    <w:rsid w:val="0066345F"/>
    <w:rsid w:val="0066485B"/>
    <w:rsid w:val="0067036E"/>
    <w:rsid w:val="00671693"/>
    <w:rsid w:val="006757AA"/>
    <w:rsid w:val="00680EBD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77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A8D"/>
    <w:rsid w:val="006E1CFB"/>
    <w:rsid w:val="006E1F94"/>
    <w:rsid w:val="006E26C1"/>
    <w:rsid w:val="006E30A8"/>
    <w:rsid w:val="006E45B0"/>
    <w:rsid w:val="006E5692"/>
    <w:rsid w:val="006F365D"/>
    <w:rsid w:val="006F4BB0"/>
    <w:rsid w:val="006F7F5D"/>
    <w:rsid w:val="0070071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1EA"/>
    <w:rsid w:val="00717739"/>
    <w:rsid w:val="00717DE4"/>
    <w:rsid w:val="00721724"/>
    <w:rsid w:val="00722EC5"/>
    <w:rsid w:val="00723326"/>
    <w:rsid w:val="00724252"/>
    <w:rsid w:val="00727E7A"/>
    <w:rsid w:val="0073163C"/>
    <w:rsid w:val="00731772"/>
    <w:rsid w:val="00731B76"/>
    <w:rsid w:val="00731DE3"/>
    <w:rsid w:val="007338AA"/>
    <w:rsid w:val="00735B9D"/>
    <w:rsid w:val="007365A5"/>
    <w:rsid w:val="00736FB0"/>
    <w:rsid w:val="007404BC"/>
    <w:rsid w:val="00740D13"/>
    <w:rsid w:val="00740F5F"/>
    <w:rsid w:val="00742794"/>
    <w:rsid w:val="007432CC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6C0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9E9"/>
    <w:rsid w:val="007A331F"/>
    <w:rsid w:val="007A3844"/>
    <w:rsid w:val="007A4381"/>
    <w:rsid w:val="007A5466"/>
    <w:rsid w:val="007A7EC1"/>
    <w:rsid w:val="007B45B5"/>
    <w:rsid w:val="007B4FCA"/>
    <w:rsid w:val="007B7B85"/>
    <w:rsid w:val="007C3D32"/>
    <w:rsid w:val="007C462E"/>
    <w:rsid w:val="007C496B"/>
    <w:rsid w:val="007C6803"/>
    <w:rsid w:val="007D2892"/>
    <w:rsid w:val="007D2DCC"/>
    <w:rsid w:val="007D47E1"/>
    <w:rsid w:val="007D7FCB"/>
    <w:rsid w:val="007E00D3"/>
    <w:rsid w:val="007E11A0"/>
    <w:rsid w:val="007E33B6"/>
    <w:rsid w:val="007E59E8"/>
    <w:rsid w:val="007E63CD"/>
    <w:rsid w:val="007F3861"/>
    <w:rsid w:val="007F4162"/>
    <w:rsid w:val="007F537A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F48"/>
    <w:rsid w:val="0084176D"/>
    <w:rsid w:val="008423E4"/>
    <w:rsid w:val="00842900"/>
    <w:rsid w:val="00850CF0"/>
    <w:rsid w:val="00851869"/>
    <w:rsid w:val="00851C04"/>
    <w:rsid w:val="008531A1"/>
    <w:rsid w:val="0085336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AC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28C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7CD7"/>
    <w:rsid w:val="00901670"/>
    <w:rsid w:val="00902212"/>
    <w:rsid w:val="00903E0A"/>
    <w:rsid w:val="00904721"/>
    <w:rsid w:val="00906305"/>
    <w:rsid w:val="00907780"/>
    <w:rsid w:val="00907EDD"/>
    <w:rsid w:val="009107AD"/>
    <w:rsid w:val="00915568"/>
    <w:rsid w:val="009174C7"/>
    <w:rsid w:val="00917E0C"/>
    <w:rsid w:val="00920711"/>
    <w:rsid w:val="00921A1E"/>
    <w:rsid w:val="00924EA9"/>
    <w:rsid w:val="00925148"/>
    <w:rsid w:val="00925CE1"/>
    <w:rsid w:val="00925F5C"/>
    <w:rsid w:val="0092638F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657"/>
    <w:rsid w:val="00980BD8"/>
    <w:rsid w:val="00980FB6"/>
    <w:rsid w:val="0098170E"/>
    <w:rsid w:val="00982635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291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B9F"/>
    <w:rsid w:val="009E13BF"/>
    <w:rsid w:val="009E3631"/>
    <w:rsid w:val="009E3EB9"/>
    <w:rsid w:val="009E4E5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040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893"/>
    <w:rsid w:val="00A07906"/>
    <w:rsid w:val="00A10908"/>
    <w:rsid w:val="00A12330"/>
    <w:rsid w:val="00A1259F"/>
    <w:rsid w:val="00A1446F"/>
    <w:rsid w:val="00A151B5"/>
    <w:rsid w:val="00A205B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65D"/>
    <w:rsid w:val="00A43960"/>
    <w:rsid w:val="00A46471"/>
    <w:rsid w:val="00A46902"/>
    <w:rsid w:val="00A50165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DD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3D3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61F"/>
    <w:rsid w:val="00B473D8"/>
    <w:rsid w:val="00B5071C"/>
    <w:rsid w:val="00B5113F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36F"/>
    <w:rsid w:val="00B91AD7"/>
    <w:rsid w:val="00B92D23"/>
    <w:rsid w:val="00B95BC8"/>
    <w:rsid w:val="00B96E87"/>
    <w:rsid w:val="00BA146A"/>
    <w:rsid w:val="00BA32EE"/>
    <w:rsid w:val="00BB5B36"/>
    <w:rsid w:val="00BB75D2"/>
    <w:rsid w:val="00BC027B"/>
    <w:rsid w:val="00BC30A6"/>
    <w:rsid w:val="00BC3ED3"/>
    <w:rsid w:val="00BC3EF6"/>
    <w:rsid w:val="00BC4E34"/>
    <w:rsid w:val="00BC51D0"/>
    <w:rsid w:val="00BC58E1"/>
    <w:rsid w:val="00BC59CA"/>
    <w:rsid w:val="00BC6271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483"/>
    <w:rsid w:val="00C013F4"/>
    <w:rsid w:val="00C040AB"/>
    <w:rsid w:val="00C0499B"/>
    <w:rsid w:val="00C05406"/>
    <w:rsid w:val="00C05CF0"/>
    <w:rsid w:val="00C06C0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3A8"/>
    <w:rsid w:val="00C377D1"/>
    <w:rsid w:val="00C37BDA"/>
    <w:rsid w:val="00C37C84"/>
    <w:rsid w:val="00C42B41"/>
    <w:rsid w:val="00C459BD"/>
    <w:rsid w:val="00C46166"/>
    <w:rsid w:val="00C4710D"/>
    <w:rsid w:val="00C50CAD"/>
    <w:rsid w:val="00C5655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1A6"/>
    <w:rsid w:val="00C7669F"/>
    <w:rsid w:val="00C76DFF"/>
    <w:rsid w:val="00C80B8F"/>
    <w:rsid w:val="00C82743"/>
    <w:rsid w:val="00C834CE"/>
    <w:rsid w:val="00C9047F"/>
    <w:rsid w:val="00C90F2E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10B"/>
    <w:rsid w:val="00CD7233"/>
    <w:rsid w:val="00CD731C"/>
    <w:rsid w:val="00CE08E8"/>
    <w:rsid w:val="00CE11EC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70B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4EDE"/>
    <w:rsid w:val="00D46AB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43A"/>
    <w:rsid w:val="00D64B88"/>
    <w:rsid w:val="00D64DC5"/>
    <w:rsid w:val="00D66BA6"/>
    <w:rsid w:val="00D700B1"/>
    <w:rsid w:val="00D730FA"/>
    <w:rsid w:val="00D73C6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EBE"/>
    <w:rsid w:val="00DD7064"/>
    <w:rsid w:val="00DD7509"/>
    <w:rsid w:val="00DD79C7"/>
    <w:rsid w:val="00DD7D6E"/>
    <w:rsid w:val="00DE34B2"/>
    <w:rsid w:val="00DE49DE"/>
    <w:rsid w:val="00DE618B"/>
    <w:rsid w:val="00DE6EC2"/>
    <w:rsid w:val="00DF0834"/>
    <w:rsid w:val="00DF16A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3AA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B1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8D9"/>
    <w:rsid w:val="00E667F3"/>
    <w:rsid w:val="00E67794"/>
    <w:rsid w:val="00E70CC6"/>
    <w:rsid w:val="00E71254"/>
    <w:rsid w:val="00E73113"/>
    <w:rsid w:val="00E73CCD"/>
    <w:rsid w:val="00E76453"/>
    <w:rsid w:val="00E77353"/>
    <w:rsid w:val="00E775AE"/>
    <w:rsid w:val="00E8272C"/>
    <w:rsid w:val="00E827C7"/>
    <w:rsid w:val="00E85DBD"/>
    <w:rsid w:val="00E87A99"/>
    <w:rsid w:val="00E87D80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856"/>
    <w:rsid w:val="00EB3928"/>
    <w:rsid w:val="00EB4900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753C"/>
    <w:rsid w:val="00EE7E0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DF6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5DCA"/>
    <w:rsid w:val="00F462F4"/>
    <w:rsid w:val="00F50130"/>
    <w:rsid w:val="00F52402"/>
    <w:rsid w:val="00F5605D"/>
    <w:rsid w:val="00F6514B"/>
    <w:rsid w:val="00F6587F"/>
    <w:rsid w:val="00F67981"/>
    <w:rsid w:val="00F67E65"/>
    <w:rsid w:val="00F706CA"/>
    <w:rsid w:val="00F70F8D"/>
    <w:rsid w:val="00F71C5A"/>
    <w:rsid w:val="00F733A4"/>
    <w:rsid w:val="00F76E85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090"/>
    <w:rsid w:val="00FC5388"/>
    <w:rsid w:val="00FC726C"/>
    <w:rsid w:val="00FD1B4B"/>
    <w:rsid w:val="00FD1B94"/>
    <w:rsid w:val="00FE19C5"/>
    <w:rsid w:val="00FE2C7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D6A332-8CFE-4E22-9FB0-7A4748E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53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3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3D3"/>
    <w:rPr>
      <w:b/>
      <w:bCs/>
    </w:rPr>
  </w:style>
  <w:style w:type="paragraph" w:styleId="Revision">
    <w:name w:val="Revision"/>
    <w:hidden/>
    <w:uiPriority w:val="99"/>
    <w:semiHidden/>
    <w:rsid w:val="00B153D3"/>
    <w:rPr>
      <w:sz w:val="24"/>
      <w:szCs w:val="24"/>
    </w:rPr>
  </w:style>
  <w:style w:type="character" w:styleId="Hyperlink">
    <w:name w:val="Hyperlink"/>
    <w:basedOn w:val="DefaultParagraphFont"/>
    <w:unhideWhenUsed/>
    <w:rsid w:val="00B153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F5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37F4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4270</Characters>
  <Application>Microsoft Office Word</Application>
  <DocSecurity>4</DocSecurity>
  <Lines>100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HB00118 (Committee Report (Substituted))</vt:lpstr>
    </vt:vector>
  </TitlesOfParts>
  <Company>State of Texas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24483</dc:subject>
  <dc:creator>State of Texas</dc:creator>
  <dc:description>HB 118 by Cortez-(H)Insurance (Substitute Document Number: 88R 22801)</dc:description>
  <cp:lastModifiedBy>Matthew Lee</cp:lastModifiedBy>
  <cp:revision>2</cp:revision>
  <cp:lastPrinted>2003-11-26T17:21:00Z</cp:lastPrinted>
  <dcterms:created xsi:type="dcterms:W3CDTF">2023-04-21T21:52:00Z</dcterms:created>
  <dcterms:modified xsi:type="dcterms:W3CDTF">2023-04-21T21:52:00Z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23.110.81</vt:lpwstr>
  </property>
</Properties>
</file>