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81CA2" w14:paraId="10EE6233" w14:textId="77777777" w:rsidTr="00345119">
        <w:tc>
          <w:tcPr>
            <w:tcW w:w="9576" w:type="dxa"/>
            <w:noWrap/>
          </w:tcPr>
          <w:p w14:paraId="78A5EFD3" w14:textId="77777777" w:rsidR="008423E4" w:rsidRPr="0022177D" w:rsidRDefault="00E64408" w:rsidP="00AF40D5">
            <w:pPr>
              <w:pStyle w:val="Heading1"/>
            </w:pPr>
            <w:r w:rsidRPr="00631897">
              <w:t>BILL ANALYSIS</w:t>
            </w:r>
          </w:p>
        </w:tc>
      </w:tr>
    </w:tbl>
    <w:p w14:paraId="2439EB69" w14:textId="77777777" w:rsidR="008423E4" w:rsidRPr="0022177D" w:rsidRDefault="008423E4" w:rsidP="00AF40D5">
      <w:pPr>
        <w:jc w:val="center"/>
      </w:pPr>
    </w:p>
    <w:p w14:paraId="5D08ED6A" w14:textId="77777777" w:rsidR="008423E4" w:rsidRPr="00B31F0E" w:rsidRDefault="008423E4" w:rsidP="00AF40D5"/>
    <w:p w14:paraId="3A88E648" w14:textId="77777777" w:rsidR="008423E4" w:rsidRPr="00742794" w:rsidRDefault="008423E4" w:rsidP="00AF40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1CA2" w14:paraId="1557400C" w14:textId="77777777" w:rsidTr="00345119">
        <w:tc>
          <w:tcPr>
            <w:tcW w:w="9576" w:type="dxa"/>
          </w:tcPr>
          <w:p w14:paraId="30F72BC7" w14:textId="554CE1F7" w:rsidR="008423E4" w:rsidRPr="00861995" w:rsidRDefault="00E64408" w:rsidP="00AF40D5">
            <w:pPr>
              <w:jc w:val="right"/>
            </w:pPr>
            <w:r>
              <w:t>C.S.H.B. 186</w:t>
            </w:r>
          </w:p>
        </w:tc>
      </w:tr>
      <w:tr w:rsidR="00A81CA2" w14:paraId="017F6CC1" w14:textId="77777777" w:rsidTr="00345119">
        <w:tc>
          <w:tcPr>
            <w:tcW w:w="9576" w:type="dxa"/>
          </w:tcPr>
          <w:p w14:paraId="4F40BC2A" w14:textId="16120A9B" w:rsidR="008423E4" w:rsidRPr="00861995" w:rsidRDefault="00E64408" w:rsidP="00AF40D5">
            <w:pPr>
              <w:jc w:val="right"/>
            </w:pPr>
            <w:r>
              <w:t xml:space="preserve">By: </w:t>
            </w:r>
            <w:r w:rsidR="00EA57AC">
              <w:t>Johnson, Julie</w:t>
            </w:r>
          </w:p>
        </w:tc>
      </w:tr>
      <w:tr w:rsidR="00A81CA2" w14:paraId="7C16D0D8" w14:textId="77777777" w:rsidTr="00345119">
        <w:tc>
          <w:tcPr>
            <w:tcW w:w="9576" w:type="dxa"/>
          </w:tcPr>
          <w:p w14:paraId="107BE542" w14:textId="2BE39302" w:rsidR="008423E4" w:rsidRPr="00861995" w:rsidRDefault="00E64408" w:rsidP="00AF40D5">
            <w:pPr>
              <w:jc w:val="right"/>
            </w:pPr>
            <w:r>
              <w:t>Judiciary &amp; Civil Jurisprudence</w:t>
            </w:r>
          </w:p>
        </w:tc>
      </w:tr>
      <w:tr w:rsidR="00A81CA2" w14:paraId="28C923E5" w14:textId="77777777" w:rsidTr="00345119">
        <w:tc>
          <w:tcPr>
            <w:tcW w:w="9576" w:type="dxa"/>
          </w:tcPr>
          <w:p w14:paraId="1256D8D5" w14:textId="1663AA90" w:rsidR="008423E4" w:rsidRDefault="00E64408" w:rsidP="00AF40D5">
            <w:pPr>
              <w:jc w:val="right"/>
            </w:pPr>
            <w:r>
              <w:t>Committee Report (Substituted)</w:t>
            </w:r>
          </w:p>
        </w:tc>
      </w:tr>
    </w:tbl>
    <w:p w14:paraId="4772CABA" w14:textId="77777777" w:rsidR="008423E4" w:rsidRDefault="008423E4" w:rsidP="00AF40D5">
      <w:pPr>
        <w:tabs>
          <w:tab w:val="right" w:pos="9360"/>
        </w:tabs>
      </w:pPr>
    </w:p>
    <w:p w14:paraId="19D826CD" w14:textId="77777777" w:rsidR="008423E4" w:rsidRDefault="008423E4" w:rsidP="00AF40D5"/>
    <w:p w14:paraId="14554929" w14:textId="77777777" w:rsidR="008423E4" w:rsidRDefault="008423E4" w:rsidP="00AF40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81CA2" w14:paraId="46121CFA" w14:textId="77777777" w:rsidTr="00345119">
        <w:tc>
          <w:tcPr>
            <w:tcW w:w="9576" w:type="dxa"/>
          </w:tcPr>
          <w:p w14:paraId="26E476B3" w14:textId="77777777" w:rsidR="008423E4" w:rsidRPr="00A8133F" w:rsidRDefault="00E64408" w:rsidP="00AF40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AA6B79" w14:textId="77777777" w:rsidR="008423E4" w:rsidRDefault="008423E4" w:rsidP="00AF40D5"/>
          <w:p w14:paraId="15E9CE83" w14:textId="29B32F66" w:rsidR="008423E4" w:rsidRDefault="00E64408" w:rsidP="00AF40D5">
            <w:pPr>
              <w:pStyle w:val="Header"/>
              <w:jc w:val="both"/>
            </w:pPr>
            <w:r w:rsidRPr="00400E14">
              <w:rPr>
                <w:lang w:val="en"/>
              </w:rPr>
              <w:t>Local hospitals are</w:t>
            </w:r>
            <w:r w:rsidR="00417F69">
              <w:rPr>
                <w:lang w:val="en"/>
              </w:rPr>
              <w:t xml:space="preserve"> reportedly</w:t>
            </w:r>
            <w:r w:rsidRPr="00400E14">
              <w:rPr>
                <w:lang w:val="en"/>
              </w:rPr>
              <w:t xml:space="preserve"> finding that certain county courts do not allow </w:t>
            </w:r>
            <w:r w:rsidR="00417F69">
              <w:rPr>
                <w:lang w:val="en"/>
              </w:rPr>
              <w:t>a hospital's</w:t>
            </w:r>
            <w:r w:rsidRPr="00400E14">
              <w:rPr>
                <w:lang w:val="en"/>
              </w:rPr>
              <w:t xml:space="preserve"> treating clinicians to request </w:t>
            </w:r>
            <w:r w:rsidR="00417F69">
              <w:rPr>
                <w:lang w:val="en"/>
              </w:rPr>
              <w:t>o</w:t>
            </w:r>
            <w:r w:rsidRPr="00400E14">
              <w:rPr>
                <w:lang w:val="en"/>
              </w:rPr>
              <w:t xml:space="preserve">rders of </w:t>
            </w:r>
            <w:r w:rsidR="00417F69">
              <w:rPr>
                <w:lang w:val="en"/>
              </w:rPr>
              <w:t>p</w:t>
            </w:r>
            <w:r w:rsidRPr="00400E14">
              <w:rPr>
                <w:lang w:val="en"/>
              </w:rPr>
              <w:t xml:space="preserve">rotective </w:t>
            </w:r>
            <w:r w:rsidR="00417F69">
              <w:rPr>
                <w:lang w:val="en"/>
              </w:rPr>
              <w:t>c</w:t>
            </w:r>
            <w:r w:rsidRPr="00400E14">
              <w:rPr>
                <w:lang w:val="en"/>
              </w:rPr>
              <w:t xml:space="preserve">ustody (OPC) from the county in which the hospital is located. Instead, the hospital </w:t>
            </w:r>
            <w:r w:rsidR="00417F69">
              <w:rPr>
                <w:lang w:val="en"/>
              </w:rPr>
              <w:t>must</w:t>
            </w:r>
            <w:r w:rsidRPr="00400E14">
              <w:rPr>
                <w:lang w:val="en"/>
              </w:rPr>
              <w:t xml:space="preserve"> seek the OPC from the county in which the patient w</w:t>
            </w:r>
            <w:r w:rsidRPr="00400E14">
              <w:rPr>
                <w:lang w:val="en"/>
              </w:rPr>
              <w:t>as apprehended by law enforcement, which is often a neighboring county. The law currently allows the application to be filed in the county in which the patient resides, is found, or is receiving court-ordered mental health services</w:t>
            </w:r>
            <w:r w:rsidR="007D7B82">
              <w:rPr>
                <w:lang w:val="en"/>
              </w:rPr>
              <w:t xml:space="preserve">. </w:t>
            </w:r>
            <w:r w:rsidRPr="00400E14">
              <w:rPr>
                <w:lang w:val="en"/>
              </w:rPr>
              <w:t>Most jurisdictions</w:t>
            </w:r>
            <w:r w:rsidR="008B0564">
              <w:rPr>
                <w:lang w:val="en"/>
              </w:rPr>
              <w:t>, but not all,</w:t>
            </w:r>
            <w:r w:rsidRPr="00400E14">
              <w:rPr>
                <w:lang w:val="en"/>
              </w:rPr>
              <w:t xml:space="preserve"> interpret this current statute to include the location of the hospital, as that is where the patient is currently located. </w:t>
            </w:r>
            <w:r w:rsidR="00D30BD2">
              <w:rPr>
                <w:lang w:val="en"/>
              </w:rPr>
              <w:t>C.S.</w:t>
            </w:r>
            <w:r w:rsidRPr="00400E14">
              <w:rPr>
                <w:lang w:val="en"/>
              </w:rPr>
              <w:t>H</w:t>
            </w:r>
            <w:r w:rsidR="00AC324E">
              <w:rPr>
                <w:lang w:val="en"/>
              </w:rPr>
              <w:t>.</w:t>
            </w:r>
            <w:r w:rsidRPr="00400E14">
              <w:rPr>
                <w:lang w:val="en"/>
              </w:rPr>
              <w:t>B</w:t>
            </w:r>
            <w:r w:rsidR="00AC324E">
              <w:rPr>
                <w:lang w:val="en"/>
              </w:rPr>
              <w:t>.</w:t>
            </w:r>
            <w:r w:rsidR="00D30BD2">
              <w:rPr>
                <w:lang w:val="en"/>
              </w:rPr>
              <w:t> </w:t>
            </w:r>
            <w:r w:rsidRPr="00400E14">
              <w:rPr>
                <w:lang w:val="en"/>
              </w:rPr>
              <w:t xml:space="preserve">186 </w:t>
            </w:r>
            <w:r w:rsidR="00417F69">
              <w:rPr>
                <w:lang w:val="en"/>
              </w:rPr>
              <w:t>seeks</w:t>
            </w:r>
            <w:r w:rsidRPr="00400E14">
              <w:rPr>
                <w:lang w:val="en"/>
              </w:rPr>
              <w:t xml:space="preserve"> to clarify existing law </w:t>
            </w:r>
            <w:r w:rsidR="00C026A9">
              <w:rPr>
                <w:lang w:val="en"/>
              </w:rPr>
              <w:t>by</w:t>
            </w:r>
            <w:r w:rsidRPr="00400E14">
              <w:rPr>
                <w:lang w:val="en"/>
              </w:rPr>
              <w:t xml:space="preserve"> specif</w:t>
            </w:r>
            <w:r w:rsidR="00C026A9">
              <w:rPr>
                <w:lang w:val="en"/>
              </w:rPr>
              <w:t>ying</w:t>
            </w:r>
            <w:r w:rsidRPr="00400E14">
              <w:rPr>
                <w:lang w:val="en"/>
              </w:rPr>
              <w:t xml:space="preserve"> </w:t>
            </w:r>
            <w:r w:rsidR="00C026A9" w:rsidRPr="00C026A9">
              <w:rPr>
                <w:lang w:val="en"/>
              </w:rPr>
              <w:t xml:space="preserve">the </w:t>
            </w:r>
            <w:r w:rsidR="00C026A9">
              <w:rPr>
                <w:lang w:val="en"/>
              </w:rPr>
              <w:t>locations in</w:t>
            </w:r>
            <w:r w:rsidR="00C026A9" w:rsidRPr="00C026A9">
              <w:rPr>
                <w:lang w:val="en"/>
              </w:rPr>
              <w:t xml:space="preserve"> </w:t>
            </w:r>
            <w:r w:rsidRPr="00400E14">
              <w:rPr>
                <w:lang w:val="en"/>
              </w:rPr>
              <w:t xml:space="preserve">which clinicians </w:t>
            </w:r>
            <w:r w:rsidR="00C026A9">
              <w:rPr>
                <w:lang w:val="en"/>
              </w:rPr>
              <w:t>may</w:t>
            </w:r>
            <w:r w:rsidR="00C026A9" w:rsidRPr="00400E14">
              <w:rPr>
                <w:lang w:val="en"/>
              </w:rPr>
              <w:t xml:space="preserve"> </w:t>
            </w:r>
            <w:r w:rsidRPr="00400E14">
              <w:rPr>
                <w:lang w:val="en"/>
              </w:rPr>
              <w:t>request OPCs</w:t>
            </w:r>
            <w:r w:rsidRPr="00400E14">
              <w:rPr>
                <w:lang w:val="en"/>
              </w:rPr>
              <w:t xml:space="preserve"> for the patients they are treating. </w:t>
            </w:r>
            <w:r w:rsidR="00417F69">
              <w:rPr>
                <w:lang w:val="en"/>
              </w:rPr>
              <w:t>Under the bill's clarifying changes to</w:t>
            </w:r>
            <w:r w:rsidRPr="00400E14">
              <w:rPr>
                <w:lang w:val="en"/>
              </w:rPr>
              <w:t xml:space="preserve"> the statute, hospitals will be able to file applications in their own county, rather than going to a neighboring county, which adds costs and time to the process</w:t>
            </w:r>
            <w:r w:rsidR="00C026A9">
              <w:rPr>
                <w:lang w:val="en"/>
              </w:rPr>
              <w:t xml:space="preserve">. This </w:t>
            </w:r>
            <w:r w:rsidRPr="00400E14">
              <w:rPr>
                <w:lang w:val="en"/>
              </w:rPr>
              <w:t xml:space="preserve">change will </w:t>
            </w:r>
            <w:r w:rsidRPr="00400E14">
              <w:rPr>
                <w:lang w:val="en"/>
              </w:rPr>
              <w:t>help patients receive treatment more quickly</w:t>
            </w:r>
            <w:r w:rsidR="00C026A9">
              <w:rPr>
                <w:lang w:val="en"/>
              </w:rPr>
              <w:t>.</w:t>
            </w:r>
          </w:p>
          <w:p w14:paraId="45A42AFE" w14:textId="77777777" w:rsidR="008423E4" w:rsidRPr="00E26B13" w:rsidRDefault="008423E4" w:rsidP="00AF40D5">
            <w:pPr>
              <w:rPr>
                <w:b/>
              </w:rPr>
            </w:pPr>
          </w:p>
        </w:tc>
      </w:tr>
      <w:tr w:rsidR="00A81CA2" w14:paraId="4C994CC0" w14:textId="77777777" w:rsidTr="00345119">
        <w:tc>
          <w:tcPr>
            <w:tcW w:w="9576" w:type="dxa"/>
          </w:tcPr>
          <w:p w14:paraId="3FEE8055" w14:textId="77777777" w:rsidR="0017725B" w:rsidRDefault="00E64408" w:rsidP="00AF40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BE0ABB" w14:textId="77777777" w:rsidR="0017725B" w:rsidRDefault="0017725B" w:rsidP="00AF40D5">
            <w:pPr>
              <w:rPr>
                <w:b/>
                <w:u w:val="single"/>
              </w:rPr>
            </w:pPr>
          </w:p>
          <w:p w14:paraId="3CEA244D" w14:textId="7D7F7975" w:rsidR="006744FF" w:rsidRPr="006744FF" w:rsidRDefault="00E64408" w:rsidP="00AF40D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34200CD6" w14:textId="77777777" w:rsidR="0017725B" w:rsidRPr="0017725B" w:rsidRDefault="0017725B" w:rsidP="00AF40D5">
            <w:pPr>
              <w:rPr>
                <w:b/>
                <w:u w:val="single"/>
              </w:rPr>
            </w:pPr>
          </w:p>
        </w:tc>
      </w:tr>
      <w:tr w:rsidR="00A81CA2" w14:paraId="57AAAE7D" w14:textId="77777777" w:rsidTr="00345119">
        <w:tc>
          <w:tcPr>
            <w:tcW w:w="9576" w:type="dxa"/>
          </w:tcPr>
          <w:p w14:paraId="302247E1" w14:textId="77777777" w:rsidR="008423E4" w:rsidRPr="00A8133F" w:rsidRDefault="00E64408" w:rsidP="00AF40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2C4C52" w14:textId="77777777" w:rsidR="008423E4" w:rsidRDefault="008423E4" w:rsidP="00AF40D5"/>
          <w:p w14:paraId="37905ADC" w14:textId="37FA73CD" w:rsidR="006744FF" w:rsidRDefault="00E64408" w:rsidP="00AF40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14:paraId="53BEBECD" w14:textId="77777777" w:rsidR="008423E4" w:rsidRPr="00E21FDC" w:rsidRDefault="008423E4" w:rsidP="00AF40D5">
            <w:pPr>
              <w:rPr>
                <w:b/>
              </w:rPr>
            </w:pPr>
          </w:p>
        </w:tc>
      </w:tr>
      <w:tr w:rsidR="00A81CA2" w14:paraId="5AC31372" w14:textId="77777777" w:rsidTr="00345119">
        <w:tc>
          <w:tcPr>
            <w:tcW w:w="9576" w:type="dxa"/>
          </w:tcPr>
          <w:p w14:paraId="49F4E074" w14:textId="77777777" w:rsidR="008423E4" w:rsidRPr="00A8133F" w:rsidRDefault="00E64408" w:rsidP="00AF40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53A352" w14:textId="77777777" w:rsidR="008423E4" w:rsidRDefault="008423E4" w:rsidP="00AF40D5"/>
          <w:p w14:paraId="41562C07" w14:textId="10708530" w:rsidR="00AC324E" w:rsidRDefault="00E64408" w:rsidP="00AF40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828AD">
              <w:t xml:space="preserve">H.B. </w:t>
            </w:r>
            <w:r w:rsidR="004C76B4">
              <w:t xml:space="preserve">186 amends the Health and Safety Code to </w:t>
            </w:r>
            <w:r w:rsidR="00E21A68">
              <w:t>do the following with respect to</w:t>
            </w:r>
            <w:r>
              <w:t xml:space="preserve"> </w:t>
            </w:r>
            <w:r w:rsidR="00E2519F">
              <w:t>a</w:t>
            </w:r>
            <w:r w:rsidR="00880657">
              <w:t>n application for</w:t>
            </w:r>
            <w:r w:rsidR="006744FF">
              <w:t xml:space="preserve"> court-ordered mental health services</w:t>
            </w:r>
            <w:r w:rsidR="00E2519F">
              <w:t xml:space="preserve"> </w:t>
            </w:r>
            <w:r w:rsidR="006744FF">
              <w:t>filed</w:t>
            </w:r>
            <w:r>
              <w:t xml:space="preserve"> </w:t>
            </w:r>
            <w:r w:rsidR="00357914">
              <w:t xml:space="preserve">with </w:t>
            </w:r>
            <w:r>
              <w:t>a county clerk</w:t>
            </w:r>
            <w:r w:rsidR="001C207D">
              <w:t>:</w:t>
            </w:r>
            <w:r>
              <w:t xml:space="preserve"> </w:t>
            </w:r>
          </w:p>
          <w:p w14:paraId="3BD499EB" w14:textId="481FC299" w:rsidR="001C207D" w:rsidRDefault="00E64408" w:rsidP="00AF40D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clarifies that such an application may be filed in </w:t>
            </w:r>
            <w:r w:rsidR="006744FF">
              <w:t xml:space="preserve">the county </w:t>
            </w:r>
            <w:r w:rsidR="00880657">
              <w:t>in which the</w:t>
            </w:r>
            <w:r w:rsidR="00F72BD8">
              <w:t xml:space="preserve"> proposed patient</w:t>
            </w:r>
            <w:r w:rsidR="006744FF">
              <w:t xml:space="preserve"> </w:t>
            </w:r>
            <w:r w:rsidR="008B0067">
              <w:t>is located at the time the application is filed</w:t>
            </w:r>
            <w:r>
              <w:t>;</w:t>
            </w:r>
            <w:r w:rsidR="008B0067">
              <w:t xml:space="preserve"> </w:t>
            </w:r>
            <w:r>
              <w:t xml:space="preserve">and </w:t>
            </w:r>
          </w:p>
          <w:p w14:paraId="136481AC" w14:textId="25F2D99F" w:rsidR="004C76B4" w:rsidRPr="009C36CD" w:rsidRDefault="00E64408" w:rsidP="00AF40D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such an application to be filed in </w:t>
            </w:r>
            <w:r w:rsidR="001C207D">
              <w:t>the county in which that person</w:t>
            </w:r>
            <w:r w:rsidR="00E731F5">
              <w:t xml:space="preserve"> was</w:t>
            </w:r>
            <w:r w:rsidR="004E0944" w:rsidRPr="004E0944">
              <w:t xml:space="preserve"> apprehended </w:t>
            </w:r>
            <w:r w:rsidR="004E0944">
              <w:t>for emergency detention</w:t>
            </w:r>
            <w:r w:rsidR="006744FF">
              <w:t>.</w:t>
            </w:r>
            <w:r w:rsidR="00D62D92">
              <w:t xml:space="preserve"> </w:t>
            </w:r>
          </w:p>
          <w:p w14:paraId="31DBDD3C" w14:textId="77777777" w:rsidR="008423E4" w:rsidRPr="00835628" w:rsidRDefault="008423E4" w:rsidP="00AF40D5">
            <w:pPr>
              <w:rPr>
                <w:b/>
              </w:rPr>
            </w:pPr>
          </w:p>
        </w:tc>
      </w:tr>
      <w:tr w:rsidR="00A81CA2" w14:paraId="7B74E05F" w14:textId="77777777" w:rsidTr="00345119">
        <w:tc>
          <w:tcPr>
            <w:tcW w:w="9576" w:type="dxa"/>
          </w:tcPr>
          <w:p w14:paraId="08CDF5A7" w14:textId="77777777" w:rsidR="008423E4" w:rsidRPr="00A8133F" w:rsidRDefault="00E64408" w:rsidP="00AF40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55B719" w14:textId="77777777" w:rsidR="008423E4" w:rsidRDefault="008423E4" w:rsidP="00AF40D5"/>
          <w:p w14:paraId="535E1319" w14:textId="7F20CE3B" w:rsidR="008423E4" w:rsidRPr="003624F2" w:rsidRDefault="00E64408" w:rsidP="00AF40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B0F77D4" w14:textId="77777777" w:rsidR="008423E4" w:rsidRPr="00233FDB" w:rsidRDefault="008423E4" w:rsidP="00AF40D5">
            <w:pPr>
              <w:rPr>
                <w:b/>
              </w:rPr>
            </w:pPr>
          </w:p>
        </w:tc>
      </w:tr>
      <w:tr w:rsidR="00A81CA2" w14:paraId="4B4C89F8" w14:textId="77777777" w:rsidTr="00345119">
        <w:tc>
          <w:tcPr>
            <w:tcW w:w="9576" w:type="dxa"/>
          </w:tcPr>
          <w:p w14:paraId="4B748E3E" w14:textId="77777777" w:rsidR="00EA57AC" w:rsidRDefault="00E64408" w:rsidP="00AF40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C66A0A9" w14:textId="77777777" w:rsidR="00D342D9" w:rsidRDefault="00D342D9" w:rsidP="00AF40D5">
            <w:pPr>
              <w:jc w:val="both"/>
            </w:pPr>
          </w:p>
          <w:p w14:paraId="70F44B13" w14:textId="724BAE32" w:rsidR="00D342D9" w:rsidRDefault="00E64408" w:rsidP="00AF40D5">
            <w:pPr>
              <w:jc w:val="both"/>
            </w:pPr>
            <w:r>
              <w:t>While C.S.H.B. 186 may differ from the introduced in minor or nonsubstantive ways, the following summarizes the substantial differences between the introduced and co</w:t>
            </w:r>
            <w:r>
              <w:t>mmittee substitute versions of the bill.</w:t>
            </w:r>
          </w:p>
          <w:p w14:paraId="66F0FD21" w14:textId="77777777" w:rsidR="00D342D9" w:rsidRDefault="00D342D9" w:rsidP="00AF40D5">
            <w:pPr>
              <w:jc w:val="both"/>
            </w:pPr>
          </w:p>
          <w:p w14:paraId="462BC41D" w14:textId="77777777" w:rsidR="00D342D9" w:rsidRDefault="00E64408" w:rsidP="00AF40D5">
            <w:pPr>
              <w:jc w:val="both"/>
            </w:pPr>
            <w:r>
              <w:t>The</w:t>
            </w:r>
            <w:r w:rsidRPr="009623B4">
              <w:t xml:space="preserve"> introduced </w:t>
            </w:r>
            <w:r>
              <w:t>added another location to the existing locations where an</w:t>
            </w:r>
            <w:r w:rsidRPr="009623B4">
              <w:t xml:space="preserve"> application for court</w:t>
            </w:r>
            <w:r>
              <w:noBreakHyphen/>
            </w:r>
            <w:r w:rsidRPr="009623B4">
              <w:t>ordered mental health services</w:t>
            </w:r>
            <w:r>
              <w:t xml:space="preserve"> may be filed, allowing an application to be filed </w:t>
            </w:r>
            <w:r w:rsidRPr="009623B4">
              <w:t>in the county in which the proposed patient is being assessed in an emergency room or hospital</w:t>
            </w:r>
            <w:r>
              <w:t xml:space="preserve">, while retaining the option in current law for the application to be filed in the county in which the patient </w:t>
            </w:r>
            <w:r>
              <w:t>was found. The substitute does not include the location added by the introduced and instead does the following:</w:t>
            </w:r>
          </w:p>
          <w:p w14:paraId="180F604F" w14:textId="19F66D41" w:rsidR="00D342D9" w:rsidRDefault="00E64408" w:rsidP="00AF40D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authorizes an application to be filed in the county in which the proposed patient </w:t>
            </w:r>
            <w:r w:rsidRPr="008E546E">
              <w:t>was apprehended for emergency detentio</w:t>
            </w:r>
            <w:r>
              <w:t xml:space="preserve">n; and </w:t>
            </w:r>
          </w:p>
          <w:p w14:paraId="0916D095" w14:textId="6A95EA2A" w:rsidR="008619F2" w:rsidRPr="00D342D9" w:rsidRDefault="00E64408" w:rsidP="00AF40D5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clarifies that a</w:t>
            </w:r>
            <w:r>
              <w:t>n application may be filed in the county in which the proposed patient is located at the time the application is filed</w:t>
            </w:r>
            <w:r w:rsidR="00D342D9">
              <w:t>.</w:t>
            </w:r>
          </w:p>
        </w:tc>
      </w:tr>
      <w:tr w:rsidR="00A81CA2" w14:paraId="059D44BA" w14:textId="77777777" w:rsidTr="00345119">
        <w:tc>
          <w:tcPr>
            <w:tcW w:w="9576" w:type="dxa"/>
          </w:tcPr>
          <w:p w14:paraId="3E7ABC79" w14:textId="77777777" w:rsidR="005020FF" w:rsidRPr="009C1E9A" w:rsidRDefault="005020FF" w:rsidP="00AF40D5">
            <w:pPr>
              <w:rPr>
                <w:b/>
                <w:u w:val="single"/>
              </w:rPr>
            </w:pPr>
          </w:p>
        </w:tc>
      </w:tr>
      <w:tr w:rsidR="00A81CA2" w14:paraId="08422A46" w14:textId="77777777" w:rsidTr="00345119">
        <w:tc>
          <w:tcPr>
            <w:tcW w:w="9576" w:type="dxa"/>
          </w:tcPr>
          <w:p w14:paraId="40409287" w14:textId="77777777" w:rsidR="005020FF" w:rsidRPr="00EA57AC" w:rsidRDefault="005020FF" w:rsidP="00AF40D5">
            <w:pPr>
              <w:jc w:val="both"/>
            </w:pPr>
          </w:p>
        </w:tc>
      </w:tr>
      <w:tr w:rsidR="00A81CA2" w14:paraId="764E6F19" w14:textId="77777777" w:rsidTr="00345119">
        <w:tc>
          <w:tcPr>
            <w:tcW w:w="9576" w:type="dxa"/>
          </w:tcPr>
          <w:p w14:paraId="6EC42864" w14:textId="77777777" w:rsidR="00EA57AC" w:rsidRPr="001E5125" w:rsidRDefault="00EA57AC" w:rsidP="00AF40D5">
            <w:pPr>
              <w:jc w:val="both"/>
            </w:pPr>
          </w:p>
        </w:tc>
      </w:tr>
      <w:tr w:rsidR="00A81CA2" w14:paraId="585FC206" w14:textId="77777777" w:rsidTr="00345119">
        <w:tc>
          <w:tcPr>
            <w:tcW w:w="9576" w:type="dxa"/>
          </w:tcPr>
          <w:p w14:paraId="082396E0" w14:textId="77777777" w:rsidR="00EA57AC" w:rsidRPr="001E5125" w:rsidRDefault="00EA57AC" w:rsidP="00AF40D5">
            <w:pPr>
              <w:jc w:val="both"/>
            </w:pPr>
          </w:p>
        </w:tc>
      </w:tr>
      <w:tr w:rsidR="00A81CA2" w14:paraId="3D44975B" w14:textId="77777777" w:rsidTr="00345119">
        <w:tc>
          <w:tcPr>
            <w:tcW w:w="9576" w:type="dxa"/>
          </w:tcPr>
          <w:p w14:paraId="0DACE7C8" w14:textId="77777777" w:rsidR="00EA57AC" w:rsidRPr="001E5125" w:rsidRDefault="00EA57AC" w:rsidP="00AF40D5">
            <w:pPr>
              <w:jc w:val="both"/>
            </w:pPr>
          </w:p>
        </w:tc>
      </w:tr>
    </w:tbl>
    <w:p w14:paraId="4DD08CFB" w14:textId="77777777" w:rsidR="008423E4" w:rsidRPr="00BE0E75" w:rsidRDefault="008423E4" w:rsidP="00AF40D5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BECB" w14:textId="77777777" w:rsidR="00000000" w:rsidRDefault="00E64408">
      <w:r>
        <w:separator/>
      </w:r>
    </w:p>
  </w:endnote>
  <w:endnote w:type="continuationSeparator" w:id="0">
    <w:p w14:paraId="5AD92D95" w14:textId="77777777" w:rsidR="00000000" w:rsidRDefault="00E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07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1CA2" w14:paraId="1AD9BBB5" w14:textId="77777777" w:rsidTr="009C1E9A">
      <w:trPr>
        <w:cantSplit/>
      </w:trPr>
      <w:tc>
        <w:tcPr>
          <w:tcW w:w="0" w:type="pct"/>
        </w:tcPr>
        <w:p w14:paraId="2B4868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3E24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00E91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FAF8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2ECF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1CA2" w14:paraId="6FBC6077" w14:textId="77777777" w:rsidTr="009C1E9A">
      <w:trPr>
        <w:cantSplit/>
      </w:trPr>
      <w:tc>
        <w:tcPr>
          <w:tcW w:w="0" w:type="pct"/>
        </w:tcPr>
        <w:p w14:paraId="2E02E0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688EFD" w14:textId="4C18A594" w:rsidR="00EC379B" w:rsidRPr="009C1E9A" w:rsidRDefault="00E644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21741-D</w:t>
          </w:r>
        </w:p>
      </w:tc>
      <w:tc>
        <w:tcPr>
          <w:tcW w:w="2453" w:type="pct"/>
        </w:tcPr>
        <w:p w14:paraId="29424E23" w14:textId="1445376F" w:rsidR="00EC379B" w:rsidRDefault="00E644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2631">
            <w:t>23.90.1380</w:t>
          </w:r>
          <w:r>
            <w:fldChar w:fldCharType="end"/>
          </w:r>
        </w:p>
      </w:tc>
    </w:tr>
    <w:tr w:rsidR="00A81CA2" w14:paraId="3E07D434" w14:textId="77777777" w:rsidTr="009C1E9A">
      <w:trPr>
        <w:cantSplit/>
      </w:trPr>
      <w:tc>
        <w:tcPr>
          <w:tcW w:w="0" w:type="pct"/>
        </w:tcPr>
        <w:p w14:paraId="28CDA79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A26D11" w14:textId="64CE4A22" w:rsidR="00EC379B" w:rsidRPr="009C1E9A" w:rsidRDefault="00E644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11900</w:t>
          </w:r>
        </w:p>
      </w:tc>
      <w:tc>
        <w:tcPr>
          <w:tcW w:w="2453" w:type="pct"/>
        </w:tcPr>
        <w:p w14:paraId="163F2D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D45D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1CA2" w14:paraId="716488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649998" w14:textId="77777777" w:rsidR="00EC379B" w:rsidRDefault="00E644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76539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E0564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E7C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465A" w14:textId="77777777" w:rsidR="00000000" w:rsidRDefault="00E64408">
      <w:r>
        <w:separator/>
      </w:r>
    </w:p>
  </w:footnote>
  <w:footnote w:type="continuationSeparator" w:id="0">
    <w:p w14:paraId="37ADD7CE" w14:textId="77777777" w:rsidR="00000000" w:rsidRDefault="00E6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701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00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72C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D36"/>
    <w:multiLevelType w:val="hybridMultilevel"/>
    <w:tmpl w:val="9CDE80F2"/>
    <w:lvl w:ilvl="0" w:tplc="66600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C1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E1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2E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A4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E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29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D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E8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590D"/>
    <w:multiLevelType w:val="hybridMultilevel"/>
    <w:tmpl w:val="17FC74CC"/>
    <w:lvl w:ilvl="0" w:tplc="B0FA0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6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CE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7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40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8C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A9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AE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0E5B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38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3B3"/>
    <w:rsid w:val="0017725B"/>
    <w:rsid w:val="0018050C"/>
    <w:rsid w:val="0018117F"/>
    <w:rsid w:val="001824ED"/>
    <w:rsid w:val="001828A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07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5125"/>
    <w:rsid w:val="001E655E"/>
    <w:rsid w:val="001F049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38A"/>
    <w:rsid w:val="002C3203"/>
    <w:rsid w:val="002C3B07"/>
    <w:rsid w:val="002C532B"/>
    <w:rsid w:val="002C5713"/>
    <w:rsid w:val="002C6F0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524"/>
    <w:rsid w:val="00313DFE"/>
    <w:rsid w:val="003143B2"/>
    <w:rsid w:val="00314821"/>
    <w:rsid w:val="0031483F"/>
    <w:rsid w:val="00316BB3"/>
    <w:rsid w:val="0031741B"/>
    <w:rsid w:val="00321337"/>
    <w:rsid w:val="00321F2F"/>
    <w:rsid w:val="003235B9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914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E9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531"/>
    <w:rsid w:val="003F77F8"/>
    <w:rsid w:val="00400ACD"/>
    <w:rsid w:val="00400E1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F69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423"/>
    <w:rsid w:val="004C4609"/>
    <w:rsid w:val="004C4B8A"/>
    <w:rsid w:val="004C52EF"/>
    <w:rsid w:val="004C5F34"/>
    <w:rsid w:val="004C600C"/>
    <w:rsid w:val="004C76B4"/>
    <w:rsid w:val="004C7888"/>
    <w:rsid w:val="004D1AC9"/>
    <w:rsid w:val="004D2631"/>
    <w:rsid w:val="004D27DE"/>
    <w:rsid w:val="004D3640"/>
    <w:rsid w:val="004D3F41"/>
    <w:rsid w:val="004D5098"/>
    <w:rsid w:val="004D6497"/>
    <w:rsid w:val="004E0944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ABD"/>
    <w:rsid w:val="004F64F6"/>
    <w:rsid w:val="004F69C0"/>
    <w:rsid w:val="00500121"/>
    <w:rsid w:val="00500C4B"/>
    <w:rsid w:val="005017AC"/>
    <w:rsid w:val="00501E8A"/>
    <w:rsid w:val="005020FF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3E41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E71"/>
    <w:rsid w:val="00662B77"/>
    <w:rsid w:val="00662D0E"/>
    <w:rsid w:val="00663265"/>
    <w:rsid w:val="0066345F"/>
    <w:rsid w:val="0066485B"/>
    <w:rsid w:val="0067036E"/>
    <w:rsid w:val="00671693"/>
    <w:rsid w:val="006744FF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20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06A"/>
    <w:rsid w:val="0070219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3B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82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B82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8E5"/>
    <w:rsid w:val="00850CF0"/>
    <w:rsid w:val="00851869"/>
    <w:rsid w:val="00851C04"/>
    <w:rsid w:val="008531A1"/>
    <w:rsid w:val="00853A94"/>
    <w:rsid w:val="008547A3"/>
    <w:rsid w:val="0085797D"/>
    <w:rsid w:val="00860020"/>
    <w:rsid w:val="00861494"/>
    <w:rsid w:val="008618E7"/>
    <w:rsid w:val="00861995"/>
    <w:rsid w:val="008619F2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57"/>
    <w:rsid w:val="008806EB"/>
    <w:rsid w:val="008826F2"/>
    <w:rsid w:val="008845BA"/>
    <w:rsid w:val="00884AE3"/>
    <w:rsid w:val="00885203"/>
    <w:rsid w:val="008859CA"/>
    <w:rsid w:val="008861EE"/>
    <w:rsid w:val="00886508"/>
    <w:rsid w:val="00890B59"/>
    <w:rsid w:val="008930D7"/>
    <w:rsid w:val="008947A7"/>
    <w:rsid w:val="00897E80"/>
    <w:rsid w:val="008A04FA"/>
    <w:rsid w:val="008A3188"/>
    <w:rsid w:val="008A3FDF"/>
    <w:rsid w:val="008A6418"/>
    <w:rsid w:val="008B0067"/>
    <w:rsid w:val="008B0564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358"/>
    <w:rsid w:val="008C3FD0"/>
    <w:rsid w:val="008C4FFA"/>
    <w:rsid w:val="008D27A5"/>
    <w:rsid w:val="008D2AAB"/>
    <w:rsid w:val="008D309C"/>
    <w:rsid w:val="008D58F9"/>
    <w:rsid w:val="008D7427"/>
    <w:rsid w:val="008E3338"/>
    <w:rsid w:val="008E47BE"/>
    <w:rsid w:val="008E546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864"/>
    <w:rsid w:val="0093417F"/>
    <w:rsid w:val="00934AC2"/>
    <w:rsid w:val="009375BB"/>
    <w:rsid w:val="009404F0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3B4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E06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48E"/>
    <w:rsid w:val="00A0053A"/>
    <w:rsid w:val="00A00C33"/>
    <w:rsid w:val="00A01103"/>
    <w:rsid w:val="00A012C0"/>
    <w:rsid w:val="00A014BB"/>
    <w:rsid w:val="00A01E10"/>
    <w:rsid w:val="00A02588"/>
    <w:rsid w:val="00A02826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D78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C69"/>
    <w:rsid w:val="00A803CF"/>
    <w:rsid w:val="00A8133F"/>
    <w:rsid w:val="00A81CA2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431"/>
    <w:rsid w:val="00AB1655"/>
    <w:rsid w:val="00AB1873"/>
    <w:rsid w:val="00AB2C05"/>
    <w:rsid w:val="00AB3536"/>
    <w:rsid w:val="00AB474B"/>
    <w:rsid w:val="00AB5CCC"/>
    <w:rsid w:val="00AB74E2"/>
    <w:rsid w:val="00AC2E9A"/>
    <w:rsid w:val="00AC324E"/>
    <w:rsid w:val="00AC51FF"/>
    <w:rsid w:val="00AC5AAB"/>
    <w:rsid w:val="00AC5AEC"/>
    <w:rsid w:val="00AC5F28"/>
    <w:rsid w:val="00AC6900"/>
    <w:rsid w:val="00AD304B"/>
    <w:rsid w:val="00AD4497"/>
    <w:rsid w:val="00AD51BF"/>
    <w:rsid w:val="00AD7780"/>
    <w:rsid w:val="00AE2263"/>
    <w:rsid w:val="00AE248E"/>
    <w:rsid w:val="00AE2D12"/>
    <w:rsid w:val="00AE2F06"/>
    <w:rsid w:val="00AE4F1C"/>
    <w:rsid w:val="00AF1433"/>
    <w:rsid w:val="00AF40D5"/>
    <w:rsid w:val="00AF48B4"/>
    <w:rsid w:val="00AF4923"/>
    <w:rsid w:val="00AF7C74"/>
    <w:rsid w:val="00AF7DA3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022"/>
    <w:rsid w:val="00B73BB4"/>
    <w:rsid w:val="00B80532"/>
    <w:rsid w:val="00B82039"/>
    <w:rsid w:val="00B82454"/>
    <w:rsid w:val="00B84597"/>
    <w:rsid w:val="00B90097"/>
    <w:rsid w:val="00B90999"/>
    <w:rsid w:val="00B91AD7"/>
    <w:rsid w:val="00B92D23"/>
    <w:rsid w:val="00B95BC8"/>
    <w:rsid w:val="00B96E87"/>
    <w:rsid w:val="00BA146A"/>
    <w:rsid w:val="00BA32EE"/>
    <w:rsid w:val="00BA4B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AF5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6A9"/>
    <w:rsid w:val="00C0380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38C"/>
    <w:rsid w:val="00C22987"/>
    <w:rsid w:val="00C23956"/>
    <w:rsid w:val="00C248E6"/>
    <w:rsid w:val="00C253F9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C32"/>
    <w:rsid w:val="00CB3627"/>
    <w:rsid w:val="00CB4B4B"/>
    <w:rsid w:val="00CB4B73"/>
    <w:rsid w:val="00CB74CB"/>
    <w:rsid w:val="00CB757D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BD2"/>
    <w:rsid w:val="00D342D9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D9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BF9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A68"/>
    <w:rsid w:val="00E21D55"/>
    <w:rsid w:val="00E21FDC"/>
    <w:rsid w:val="00E2519F"/>
    <w:rsid w:val="00E2551E"/>
    <w:rsid w:val="00E266E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408"/>
    <w:rsid w:val="00E667F3"/>
    <w:rsid w:val="00E67794"/>
    <w:rsid w:val="00E70CC6"/>
    <w:rsid w:val="00E71254"/>
    <w:rsid w:val="00E731F5"/>
    <w:rsid w:val="00E73CCD"/>
    <w:rsid w:val="00E750A6"/>
    <w:rsid w:val="00E76453"/>
    <w:rsid w:val="00E77353"/>
    <w:rsid w:val="00E775AE"/>
    <w:rsid w:val="00E8272C"/>
    <w:rsid w:val="00E827C7"/>
    <w:rsid w:val="00E85DBD"/>
    <w:rsid w:val="00E87A99"/>
    <w:rsid w:val="00E90702"/>
    <w:rsid w:val="00E91B76"/>
    <w:rsid w:val="00E9241E"/>
    <w:rsid w:val="00E93DEF"/>
    <w:rsid w:val="00E947B1"/>
    <w:rsid w:val="00E96852"/>
    <w:rsid w:val="00EA16AC"/>
    <w:rsid w:val="00EA385A"/>
    <w:rsid w:val="00EA3931"/>
    <w:rsid w:val="00EA57AC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59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671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BD8"/>
    <w:rsid w:val="00F733A4"/>
    <w:rsid w:val="00F7758F"/>
    <w:rsid w:val="00F82811"/>
    <w:rsid w:val="00F84153"/>
    <w:rsid w:val="00F85661"/>
    <w:rsid w:val="00F96602"/>
    <w:rsid w:val="00F9735A"/>
    <w:rsid w:val="00FA32FC"/>
    <w:rsid w:val="00FA4A9B"/>
    <w:rsid w:val="00FA59FD"/>
    <w:rsid w:val="00FA5D8C"/>
    <w:rsid w:val="00FA6403"/>
    <w:rsid w:val="00FB16CD"/>
    <w:rsid w:val="00FB3C7A"/>
    <w:rsid w:val="00FB505F"/>
    <w:rsid w:val="00FB73AE"/>
    <w:rsid w:val="00FC5388"/>
    <w:rsid w:val="00FC726C"/>
    <w:rsid w:val="00FD0D22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46C54-2284-4E81-B5CD-D40C6652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7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7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76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7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76B4"/>
    <w:rPr>
      <w:b/>
      <w:bCs/>
    </w:rPr>
  </w:style>
  <w:style w:type="paragraph" w:styleId="Revision">
    <w:name w:val="Revision"/>
    <w:hidden/>
    <w:uiPriority w:val="99"/>
    <w:semiHidden/>
    <w:rsid w:val="005020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2676</Characters>
  <Application>Microsoft Office Word</Application>
  <DocSecurity>4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HB00186 (Committee Report (Substituted))</vt:lpstr>
    </vt:vector>
  </TitlesOfParts>
  <Company>State of Texas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21741</dc:subject>
  <dc:creator>State of Texas</dc:creator>
  <dc:description>HB 186 by Johnson, Julie-(H)Judiciary &amp; Civil Jurisprudence (Substitute Document Number: 88R 11900)</dc:description>
  <cp:lastModifiedBy>Damian Duarte</cp:lastModifiedBy>
  <cp:revision>2</cp:revision>
  <cp:lastPrinted>2003-11-26T17:21:00Z</cp:lastPrinted>
  <dcterms:created xsi:type="dcterms:W3CDTF">2023-04-04T14:34:00Z</dcterms:created>
  <dcterms:modified xsi:type="dcterms:W3CDTF">2023-04-04T14:34:00Z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23.90.1380</vt:lpwstr>
  </property>
</Properties>
</file>