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C6208" w14:paraId="48372674" w14:textId="77777777" w:rsidTr="00345119">
        <w:tc>
          <w:tcPr>
            <w:tcW w:w="9576" w:type="dxa"/>
            <w:noWrap/>
          </w:tcPr>
          <w:p w14:paraId="70C171C9" w14:textId="77777777" w:rsidR="008423E4" w:rsidRPr="0022177D" w:rsidRDefault="00400E6B" w:rsidP="00A976D0">
            <w:pPr>
              <w:pStyle w:val="Heading1"/>
            </w:pPr>
            <w:r w:rsidRPr="00631897">
              <w:t>BILL ANALYSIS</w:t>
            </w:r>
          </w:p>
        </w:tc>
      </w:tr>
    </w:tbl>
    <w:p w14:paraId="06CB027E" w14:textId="77777777" w:rsidR="008423E4" w:rsidRPr="0022177D" w:rsidRDefault="008423E4" w:rsidP="00A976D0">
      <w:pPr>
        <w:jc w:val="center"/>
      </w:pPr>
    </w:p>
    <w:p w14:paraId="352B40CA" w14:textId="77777777" w:rsidR="008423E4" w:rsidRPr="00B31F0E" w:rsidRDefault="008423E4" w:rsidP="00A976D0"/>
    <w:p w14:paraId="576154E1" w14:textId="77777777" w:rsidR="008423E4" w:rsidRPr="00742794" w:rsidRDefault="008423E4" w:rsidP="00A976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6208" w14:paraId="0B2750B8" w14:textId="77777777" w:rsidTr="00345119">
        <w:tc>
          <w:tcPr>
            <w:tcW w:w="9576" w:type="dxa"/>
          </w:tcPr>
          <w:p w14:paraId="4C02313A" w14:textId="6A80611D" w:rsidR="008423E4" w:rsidRPr="00861995" w:rsidRDefault="00400E6B" w:rsidP="00A976D0">
            <w:pPr>
              <w:jc w:val="right"/>
            </w:pPr>
            <w:r>
              <w:t>H.B. 207</w:t>
            </w:r>
          </w:p>
        </w:tc>
      </w:tr>
      <w:tr w:rsidR="009C6208" w14:paraId="6D0EE24F" w14:textId="77777777" w:rsidTr="00345119">
        <w:tc>
          <w:tcPr>
            <w:tcW w:w="9576" w:type="dxa"/>
          </w:tcPr>
          <w:p w14:paraId="7E5063BA" w14:textId="2AF43361" w:rsidR="008423E4" w:rsidRPr="00861995" w:rsidRDefault="00400E6B" w:rsidP="00A976D0">
            <w:pPr>
              <w:jc w:val="right"/>
            </w:pPr>
            <w:r>
              <w:t xml:space="preserve">By: </w:t>
            </w:r>
            <w:r w:rsidR="00206E1E">
              <w:t>Murr</w:t>
            </w:r>
          </w:p>
        </w:tc>
      </w:tr>
      <w:tr w:rsidR="009C6208" w14:paraId="5D23EF71" w14:textId="77777777" w:rsidTr="00345119">
        <w:tc>
          <w:tcPr>
            <w:tcW w:w="9576" w:type="dxa"/>
          </w:tcPr>
          <w:p w14:paraId="6F0CE7C2" w14:textId="6DD4CAA6" w:rsidR="008423E4" w:rsidRPr="00861995" w:rsidRDefault="00400E6B" w:rsidP="00A976D0">
            <w:pPr>
              <w:jc w:val="right"/>
            </w:pPr>
            <w:r>
              <w:t>Business &amp; Industry</w:t>
            </w:r>
          </w:p>
        </w:tc>
      </w:tr>
      <w:tr w:rsidR="009C6208" w14:paraId="5BF27922" w14:textId="77777777" w:rsidTr="00345119">
        <w:tc>
          <w:tcPr>
            <w:tcW w:w="9576" w:type="dxa"/>
          </w:tcPr>
          <w:p w14:paraId="46A5A688" w14:textId="3E113EB3" w:rsidR="008423E4" w:rsidRDefault="00400E6B" w:rsidP="00A976D0">
            <w:pPr>
              <w:jc w:val="right"/>
            </w:pPr>
            <w:r>
              <w:t>Committee Report (Unamended)</w:t>
            </w:r>
          </w:p>
        </w:tc>
      </w:tr>
    </w:tbl>
    <w:p w14:paraId="001E035E" w14:textId="77777777" w:rsidR="008423E4" w:rsidRDefault="008423E4" w:rsidP="00A976D0">
      <w:pPr>
        <w:tabs>
          <w:tab w:val="right" w:pos="9360"/>
        </w:tabs>
      </w:pPr>
    </w:p>
    <w:p w14:paraId="1A73E3D9" w14:textId="77777777" w:rsidR="008423E4" w:rsidRDefault="008423E4" w:rsidP="00A976D0"/>
    <w:p w14:paraId="6AF8C63C" w14:textId="77777777" w:rsidR="008423E4" w:rsidRDefault="008423E4" w:rsidP="00A976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6208" w14:paraId="225AF3D9" w14:textId="77777777" w:rsidTr="00345119">
        <w:tc>
          <w:tcPr>
            <w:tcW w:w="9576" w:type="dxa"/>
          </w:tcPr>
          <w:p w14:paraId="64D9E22A" w14:textId="77777777" w:rsidR="008423E4" w:rsidRPr="00A8133F" w:rsidRDefault="00400E6B" w:rsidP="00A976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C646BE" w14:textId="77777777" w:rsidR="008423E4" w:rsidRDefault="008423E4" w:rsidP="00A976D0"/>
          <w:p w14:paraId="7294A68F" w14:textId="4BAA822E" w:rsidR="008423E4" w:rsidRDefault="00400E6B" w:rsidP="00A976D0">
            <w:pPr>
              <w:pStyle w:val="Header"/>
              <w:tabs>
                <w:tab w:val="clear" w:pos="4320"/>
                <w:tab w:val="clear" w:pos="8640"/>
                <w:tab w:val="left" w:pos="1095"/>
              </w:tabs>
              <w:jc w:val="both"/>
            </w:pPr>
            <w:r w:rsidRPr="00AF5024">
              <w:t xml:space="preserve">Rural </w:t>
            </w:r>
            <w:r w:rsidR="006F006B">
              <w:t xml:space="preserve">community banks have raised concerns regarding the difficulties that rural </w:t>
            </w:r>
            <w:r w:rsidRPr="00AF5024">
              <w:t xml:space="preserve">Texans face </w:t>
            </w:r>
            <w:r w:rsidR="005367B1">
              <w:t>when attempting</w:t>
            </w:r>
            <w:r w:rsidRPr="00AF5024">
              <w:t xml:space="preserve"> to insure non-home equity cash</w:t>
            </w:r>
            <w:r w:rsidR="00EA6A02">
              <w:t>-</w:t>
            </w:r>
            <w:r w:rsidRPr="00AF5024">
              <w:t>out loan liens on rural property.</w:t>
            </w:r>
            <w:r>
              <w:t xml:space="preserve"> </w:t>
            </w:r>
            <w:r w:rsidRPr="00AF5024">
              <w:t>Th</w:t>
            </w:r>
            <w:r w:rsidR="005367B1">
              <w:t>ere have been calls</w:t>
            </w:r>
            <w:r w:rsidRPr="00AF5024">
              <w:t xml:space="preserve"> to address the extreme reluctance of title insurers to insure </w:t>
            </w:r>
            <w:r w:rsidR="006F006B">
              <w:t>these</w:t>
            </w:r>
            <w:r w:rsidRPr="00AF5024">
              <w:t xml:space="preserve"> liens on rural property</w:t>
            </w:r>
            <w:r w:rsidR="005367B1">
              <w:t xml:space="preserve"> as r</w:t>
            </w:r>
            <w:r w:rsidRPr="00AF5024">
              <w:t>ural borrowers and lenders face lending difficulties not faced by urban borrowers and lenders.</w:t>
            </w:r>
            <w:r>
              <w:t xml:space="preserve"> </w:t>
            </w:r>
            <w:r w:rsidR="005367B1">
              <w:t>H.B. 207</w:t>
            </w:r>
            <w:r w:rsidRPr="00AF5024">
              <w:t xml:space="preserve"> seeks to </w:t>
            </w:r>
            <w:r w:rsidR="005367B1" w:rsidRPr="005367B1">
              <w:t xml:space="preserve">help level the playing field between rural borrowers and lenders and their urban counterparts </w:t>
            </w:r>
            <w:r w:rsidR="00DB5D39">
              <w:t xml:space="preserve">and </w:t>
            </w:r>
            <w:r w:rsidR="00EA6A02">
              <w:t xml:space="preserve">give title insurers a safe harbor for insuring liens on rural property by </w:t>
            </w:r>
            <w:r w:rsidRPr="00AF5024">
              <w:t>provid</w:t>
            </w:r>
            <w:r w:rsidR="00EA6A02">
              <w:t>ing</w:t>
            </w:r>
            <w:r w:rsidRPr="00AF5024">
              <w:t xml:space="preserve"> a method for rural borrowers to obtain cash-out financing on</w:t>
            </w:r>
            <w:r w:rsidR="00DB5D39">
              <w:t xml:space="preserve"> </w:t>
            </w:r>
            <w:r w:rsidRPr="00AF5024">
              <w:t>rural property</w:t>
            </w:r>
            <w:r w:rsidR="00651481">
              <w:t xml:space="preserve"> that is not the borrower's residence or contiguous to the borrower's residence</w:t>
            </w:r>
            <w:r w:rsidRPr="00AF5024">
              <w:t>.</w:t>
            </w:r>
          </w:p>
          <w:p w14:paraId="4BC6BD5A" w14:textId="77777777" w:rsidR="008423E4" w:rsidRPr="00E26B13" w:rsidRDefault="008423E4" w:rsidP="00A976D0">
            <w:pPr>
              <w:rPr>
                <w:b/>
              </w:rPr>
            </w:pPr>
          </w:p>
        </w:tc>
      </w:tr>
      <w:tr w:rsidR="009C6208" w14:paraId="59105D6E" w14:textId="77777777" w:rsidTr="00345119">
        <w:tc>
          <w:tcPr>
            <w:tcW w:w="9576" w:type="dxa"/>
          </w:tcPr>
          <w:p w14:paraId="1649909E" w14:textId="77777777" w:rsidR="0017725B" w:rsidRDefault="00400E6B" w:rsidP="00A976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F3DCD80" w14:textId="77777777" w:rsidR="0017725B" w:rsidRDefault="0017725B" w:rsidP="00A976D0">
            <w:pPr>
              <w:rPr>
                <w:b/>
                <w:u w:val="single"/>
              </w:rPr>
            </w:pPr>
          </w:p>
          <w:p w14:paraId="210161A6" w14:textId="77777777" w:rsidR="009A22E4" w:rsidRPr="009A22E4" w:rsidRDefault="00400E6B" w:rsidP="00A976D0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4D0BCEFB" w14:textId="77777777" w:rsidR="0017725B" w:rsidRPr="0017725B" w:rsidRDefault="0017725B" w:rsidP="00A976D0">
            <w:pPr>
              <w:rPr>
                <w:b/>
                <w:u w:val="single"/>
              </w:rPr>
            </w:pPr>
          </w:p>
        </w:tc>
      </w:tr>
      <w:tr w:rsidR="009C6208" w14:paraId="1992E813" w14:textId="77777777" w:rsidTr="00345119">
        <w:tc>
          <w:tcPr>
            <w:tcW w:w="9576" w:type="dxa"/>
          </w:tcPr>
          <w:p w14:paraId="63DD3487" w14:textId="77777777" w:rsidR="008423E4" w:rsidRPr="00A8133F" w:rsidRDefault="00400E6B" w:rsidP="00A976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350AA4" w14:textId="77777777" w:rsidR="008423E4" w:rsidRDefault="008423E4" w:rsidP="00A976D0"/>
          <w:p w14:paraId="65E6091F" w14:textId="77777777" w:rsidR="009A22E4" w:rsidRDefault="00400E6B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4F8D868" w14:textId="77777777" w:rsidR="008423E4" w:rsidRPr="00E21FDC" w:rsidRDefault="008423E4" w:rsidP="00A976D0">
            <w:pPr>
              <w:rPr>
                <w:b/>
              </w:rPr>
            </w:pPr>
          </w:p>
        </w:tc>
      </w:tr>
      <w:tr w:rsidR="009C6208" w14:paraId="0819B9CF" w14:textId="77777777" w:rsidTr="00345119">
        <w:tc>
          <w:tcPr>
            <w:tcW w:w="9576" w:type="dxa"/>
          </w:tcPr>
          <w:p w14:paraId="33DDCFA9" w14:textId="77777777" w:rsidR="008423E4" w:rsidRPr="00A8133F" w:rsidRDefault="00400E6B" w:rsidP="00A976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74470E" w14:textId="77777777" w:rsidR="008423E4" w:rsidRDefault="008423E4" w:rsidP="00A976D0"/>
          <w:p w14:paraId="0AD6DAED" w14:textId="00CC1047" w:rsidR="009C36CD" w:rsidRDefault="00400E6B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</w:t>
            </w:r>
            <w:r w:rsidR="00FD2DA8">
              <w:t>07</w:t>
            </w:r>
            <w:r>
              <w:t xml:space="preserve"> amends the </w:t>
            </w:r>
            <w:r w:rsidRPr="008851BF">
              <w:t>Property Code</w:t>
            </w:r>
            <w:r>
              <w:t xml:space="preserve"> to </w:t>
            </w:r>
            <w:r w:rsidR="00D800D1">
              <w:t xml:space="preserve">establish that </w:t>
            </w:r>
            <w:r w:rsidR="00221E2E">
              <w:t xml:space="preserve">the </w:t>
            </w:r>
            <w:r w:rsidR="009A22E4">
              <w:t>conveyance of one or more parcels</w:t>
            </w:r>
            <w:r w:rsidRPr="008851BF">
              <w:t xml:space="preserve"> </w:t>
            </w:r>
            <w:r w:rsidR="00AE0D8B">
              <w:t>that do not meet certain</w:t>
            </w:r>
            <w:r w:rsidR="00221E2E">
              <w:t xml:space="preserve"> statutory</w:t>
            </w:r>
            <w:r w:rsidR="00AE0D8B">
              <w:t xml:space="preserve"> definitions of an urban homestead</w:t>
            </w:r>
            <w:r>
              <w:t xml:space="preserve"> </w:t>
            </w:r>
            <w:r w:rsidR="00AE0D8B" w:rsidRPr="00AE0D8B">
              <w:t>by an individual to an entity in which the individual or individual's spouse has a direct or indirect ownership interest</w:t>
            </w:r>
            <w:r w:rsidR="00AE0D8B">
              <w:t xml:space="preserve"> </w:t>
            </w:r>
            <w:r w:rsidR="00D800D1">
              <w:t>is not a</w:t>
            </w:r>
            <w:r w:rsidR="00FD2DA8">
              <w:t xml:space="preserve"> sham or</w:t>
            </w:r>
            <w:r w:rsidRPr="008851BF">
              <w:t xml:space="preserve"> pretended sale</w:t>
            </w:r>
            <w:r>
              <w:t xml:space="preserve"> involving any condition of defeasance </w:t>
            </w:r>
            <w:r w:rsidR="006002D5">
              <w:t xml:space="preserve">under </w:t>
            </w:r>
            <w:r w:rsidR="00AE0D8B">
              <w:t>the following circumstances:</w:t>
            </w:r>
          </w:p>
          <w:p w14:paraId="6F996CB8" w14:textId="005A42B6" w:rsidR="00AE0D8B" w:rsidRDefault="00400E6B" w:rsidP="00A976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E0D8B">
              <w:t xml:space="preserve">the deed conveying the parcel </w:t>
            </w:r>
            <w:r w:rsidR="00D800D1">
              <w:t>is</w:t>
            </w:r>
            <w:r w:rsidR="00D800D1" w:rsidRPr="00AE0D8B">
              <w:t xml:space="preserve"> </w:t>
            </w:r>
            <w:r w:rsidRPr="00AE0D8B">
              <w:t xml:space="preserve">recorded at least 30 days before the entity </w:t>
            </w:r>
            <w:r w:rsidR="00D800D1">
              <w:t>grants</w:t>
            </w:r>
            <w:r w:rsidR="00D800D1" w:rsidRPr="00AE0D8B">
              <w:t xml:space="preserve"> </w:t>
            </w:r>
            <w:r w:rsidRPr="00AE0D8B">
              <w:t>a mortgage, trust deed, or other lien on the parcel;</w:t>
            </w:r>
          </w:p>
          <w:p w14:paraId="6BECB8A4" w14:textId="77777777" w:rsidR="00AE0D8B" w:rsidRDefault="00400E6B" w:rsidP="00A976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E0D8B">
              <w:t>the individual does not res</w:t>
            </w:r>
            <w:r w:rsidRPr="00AE0D8B">
              <w:t>ide on the parcel at the time of the conveyance;</w:t>
            </w:r>
          </w:p>
          <w:p w14:paraId="737457B2" w14:textId="77777777" w:rsidR="00AE0D8B" w:rsidRDefault="00400E6B" w:rsidP="00A976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E0D8B">
              <w:t>the parcel is not contiguous to the parcel on which the individual resides;</w:t>
            </w:r>
          </w:p>
          <w:p w14:paraId="51554C10" w14:textId="77777777" w:rsidR="00AE0D8B" w:rsidRDefault="00400E6B" w:rsidP="00A976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E0D8B">
              <w:t>the deed conveying the parcel does not contain a condition of defeasance; and</w:t>
            </w:r>
          </w:p>
          <w:p w14:paraId="72963230" w14:textId="21BDF77E" w:rsidR="00173D7C" w:rsidRDefault="00400E6B" w:rsidP="00A976D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E0D8B">
              <w:t xml:space="preserve">the individual recorded </w:t>
            </w:r>
            <w:r w:rsidR="006E6B62" w:rsidRPr="00AE0D8B">
              <w:t xml:space="preserve">an affidavit </w:t>
            </w:r>
            <w:r w:rsidRPr="00AE0D8B">
              <w:t>contemporaneousl</w:t>
            </w:r>
            <w:r w:rsidRPr="00AE0D8B">
              <w:t>y with the deed</w:t>
            </w:r>
            <w:r>
              <w:t>.</w:t>
            </w:r>
            <w:r w:rsidRPr="00AE0D8B">
              <w:t xml:space="preserve"> </w:t>
            </w:r>
          </w:p>
          <w:p w14:paraId="4D48E5AD" w14:textId="34B9AF44" w:rsidR="00DE76D9" w:rsidRDefault="00400E6B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sets out the required form and contents of the affidavit</w:t>
            </w:r>
            <w:r w:rsidR="006213F7">
              <w:t>,</w:t>
            </w:r>
            <w:r w:rsidRPr="00173D7C">
              <w:t xml:space="preserve"> requires</w:t>
            </w:r>
            <w:r w:rsidR="006002D5">
              <w:t xml:space="preserve"> an</w:t>
            </w:r>
            <w:r w:rsidRPr="00173D7C">
              <w:t xml:space="preserve"> individual's spouse to join in the execution of the deed and affidavit</w:t>
            </w:r>
            <w:r w:rsidR="006002D5">
              <w:t>, if applicable</w:t>
            </w:r>
            <w:r w:rsidR="006213F7">
              <w:t>, and establishes that t</w:t>
            </w:r>
            <w:r>
              <w:t>he</w:t>
            </w:r>
            <w:r w:rsidR="00495288">
              <w:t xml:space="preserve"> entity or a lender for value </w:t>
            </w:r>
            <w:r>
              <w:t>may</w:t>
            </w:r>
            <w:r w:rsidR="00495288">
              <w:t xml:space="preserve"> conclusively rely on such an affidavit. </w:t>
            </w:r>
          </w:p>
          <w:p w14:paraId="145567F5" w14:textId="77777777" w:rsidR="00DE76D9" w:rsidRDefault="00DE76D9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CF4842F" w14:textId="0D441DD9" w:rsidR="0061579A" w:rsidRDefault="00400E6B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207</w:t>
            </w:r>
            <w:r w:rsidR="00AE0D8B">
              <w:t xml:space="preserve"> </w:t>
            </w:r>
            <w:r w:rsidR="006213F7">
              <w:t>provides</w:t>
            </w:r>
            <w:r w:rsidR="00D800D1">
              <w:t xml:space="preserve"> that</w:t>
            </w:r>
            <w:r>
              <w:t xml:space="preserve"> the</w:t>
            </w:r>
            <w:r w:rsidR="00AE0D8B">
              <w:t xml:space="preserve"> </w:t>
            </w:r>
            <w:r w:rsidR="00AE0D8B" w:rsidRPr="00AE0D8B">
              <w:t>individual</w:t>
            </w:r>
            <w:r>
              <w:t xml:space="preserve"> executing such a deed</w:t>
            </w:r>
            <w:r w:rsidR="00AE0D8B" w:rsidRPr="00AE0D8B">
              <w:t xml:space="preserve"> </w:t>
            </w:r>
            <w:r w:rsidR="00D800D1">
              <w:t>is</w:t>
            </w:r>
            <w:r w:rsidR="00AE0D8B">
              <w:t xml:space="preserve"> </w:t>
            </w:r>
            <w:r w:rsidR="00AE0D8B" w:rsidRPr="00AE0D8B">
              <w:t xml:space="preserve">estopped from claiming </w:t>
            </w:r>
            <w:r>
              <w:t>the following:</w:t>
            </w:r>
          </w:p>
          <w:p w14:paraId="046093B2" w14:textId="5E991084" w:rsidR="0061579A" w:rsidRDefault="00400E6B" w:rsidP="00A976D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that </w:t>
            </w:r>
            <w:r w:rsidR="00AE0D8B" w:rsidRPr="00AE0D8B">
              <w:t xml:space="preserve">the conveyance is a </w:t>
            </w:r>
            <w:r w:rsidR="00292176">
              <w:t xml:space="preserve">sham or </w:t>
            </w:r>
            <w:r w:rsidR="00AE0D8B" w:rsidRPr="00AE0D8B">
              <w:t>pretended sale</w:t>
            </w:r>
            <w:r w:rsidR="00AE0D8B">
              <w:t xml:space="preserve"> </w:t>
            </w:r>
            <w:r w:rsidR="00D800D1" w:rsidRPr="00D800D1">
              <w:t>involving any condition of defeasance</w:t>
            </w:r>
            <w:r w:rsidR="00B9228B">
              <w:t>;</w:t>
            </w:r>
            <w:r w:rsidR="00292176">
              <w:t xml:space="preserve"> or </w:t>
            </w:r>
          </w:p>
          <w:p w14:paraId="3E61650A" w14:textId="060D78A5" w:rsidR="00B9228B" w:rsidRDefault="00400E6B" w:rsidP="00A976D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that </w:t>
            </w:r>
            <w:r w:rsidRPr="00292176">
              <w:t>the individual had not abandoned homestead rights, if any, in the parcel</w:t>
            </w:r>
            <w:r>
              <w:t xml:space="preserve"> </w:t>
            </w:r>
            <w:r w:rsidRPr="00292176">
              <w:t>by executing the deed</w:t>
            </w:r>
            <w:r w:rsidR="0061579A">
              <w:t>.</w:t>
            </w:r>
            <w:r w:rsidR="00AE0D8B">
              <w:t xml:space="preserve"> </w:t>
            </w:r>
          </w:p>
          <w:p w14:paraId="6B59B67C" w14:textId="77777777" w:rsidR="00B9228B" w:rsidRDefault="00B9228B" w:rsidP="00A976D0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</w:pPr>
          </w:p>
          <w:p w14:paraId="286F429D" w14:textId="4DDA0531" w:rsidR="008423E4" w:rsidRDefault="00400E6B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207</w:t>
            </w:r>
            <w:r w:rsidR="00AE0D8B">
              <w:t xml:space="preserve"> </w:t>
            </w:r>
            <w:r w:rsidR="009A22E4">
              <w:t xml:space="preserve">defines "entity" for the purposes of the conveyance as a </w:t>
            </w:r>
            <w:r w:rsidR="009A22E4" w:rsidRPr="009A22E4">
              <w:t>domestic or foreign</w:t>
            </w:r>
            <w:r w:rsidR="009A22E4">
              <w:t xml:space="preserve"> </w:t>
            </w:r>
            <w:r w:rsidR="009A22E4" w:rsidRPr="009A22E4">
              <w:t>corporation, professional corporation, profession</w:t>
            </w:r>
            <w:r w:rsidR="006E6B62">
              <w:t>al</w:t>
            </w:r>
            <w:r w:rsidR="009A22E4" w:rsidRPr="009A22E4">
              <w:t xml:space="preserve"> association</w:t>
            </w:r>
            <w:r w:rsidR="009A22E4">
              <w:t xml:space="preserve">, </w:t>
            </w:r>
            <w:r w:rsidR="009A22E4" w:rsidRPr="009A22E4">
              <w:t>limited liability company</w:t>
            </w:r>
            <w:r w:rsidR="007507DB">
              <w:t xml:space="preserve">, </w:t>
            </w:r>
            <w:r w:rsidR="009A22E4" w:rsidRPr="009A22E4">
              <w:t>professional limited liability company</w:t>
            </w:r>
            <w:r w:rsidR="009A22E4">
              <w:t xml:space="preserve">, or limited partnership. </w:t>
            </w:r>
          </w:p>
          <w:p w14:paraId="57EF082E" w14:textId="5C32EB07" w:rsidR="003F1076" w:rsidRPr="00835628" w:rsidRDefault="003F1076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C6208" w14:paraId="62E9DC7E" w14:textId="77777777" w:rsidTr="00345119">
        <w:tc>
          <w:tcPr>
            <w:tcW w:w="9576" w:type="dxa"/>
          </w:tcPr>
          <w:p w14:paraId="5DF9FFA8" w14:textId="77777777" w:rsidR="008423E4" w:rsidRPr="00A8133F" w:rsidRDefault="00400E6B" w:rsidP="00A976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D1B87B" w14:textId="77777777" w:rsidR="008423E4" w:rsidRDefault="008423E4" w:rsidP="00A976D0"/>
          <w:p w14:paraId="06E038A6" w14:textId="40060BEE" w:rsidR="008423E4" w:rsidRPr="00495288" w:rsidRDefault="00400E6B" w:rsidP="00A976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495288">
              <w:t>3</w:t>
            </w:r>
            <w:r>
              <w:t>.</w:t>
            </w:r>
          </w:p>
        </w:tc>
      </w:tr>
      <w:tr w:rsidR="009C6208" w14:paraId="47D36970" w14:textId="77777777" w:rsidTr="00345119">
        <w:tc>
          <w:tcPr>
            <w:tcW w:w="9576" w:type="dxa"/>
          </w:tcPr>
          <w:p w14:paraId="282C555C" w14:textId="1A9DD75B" w:rsidR="00BA13BE" w:rsidRPr="00BA13BE" w:rsidRDefault="00BA13BE" w:rsidP="00A976D0">
            <w:pPr>
              <w:jc w:val="both"/>
            </w:pPr>
          </w:p>
        </w:tc>
      </w:tr>
      <w:tr w:rsidR="009C6208" w14:paraId="078F2D1C" w14:textId="77777777" w:rsidTr="00345119">
        <w:tc>
          <w:tcPr>
            <w:tcW w:w="9576" w:type="dxa"/>
          </w:tcPr>
          <w:p w14:paraId="70DA7388" w14:textId="77777777" w:rsidR="00A87F8A" w:rsidRPr="009C1E9A" w:rsidRDefault="00A87F8A" w:rsidP="00A976D0">
            <w:pPr>
              <w:rPr>
                <w:b/>
                <w:u w:val="single"/>
              </w:rPr>
            </w:pPr>
          </w:p>
        </w:tc>
      </w:tr>
      <w:tr w:rsidR="009C6208" w14:paraId="0696D4B3" w14:textId="77777777" w:rsidTr="00345119">
        <w:tc>
          <w:tcPr>
            <w:tcW w:w="9576" w:type="dxa"/>
          </w:tcPr>
          <w:p w14:paraId="669F413E" w14:textId="77777777" w:rsidR="00A87F8A" w:rsidRPr="00A87F8A" w:rsidRDefault="00A87F8A" w:rsidP="00A976D0">
            <w:pPr>
              <w:jc w:val="both"/>
            </w:pPr>
          </w:p>
        </w:tc>
      </w:tr>
    </w:tbl>
    <w:p w14:paraId="24ACF336" w14:textId="77777777" w:rsidR="004108C3" w:rsidRPr="008423E4" w:rsidRDefault="004108C3" w:rsidP="00A976D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D338" w14:textId="77777777" w:rsidR="00000000" w:rsidRDefault="00400E6B">
      <w:r>
        <w:separator/>
      </w:r>
    </w:p>
  </w:endnote>
  <w:endnote w:type="continuationSeparator" w:id="0">
    <w:p w14:paraId="2DBC5A34" w14:textId="77777777" w:rsidR="00000000" w:rsidRDefault="0040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F79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6208" w14:paraId="433972CB" w14:textId="77777777" w:rsidTr="009C1E9A">
      <w:trPr>
        <w:cantSplit/>
      </w:trPr>
      <w:tc>
        <w:tcPr>
          <w:tcW w:w="0" w:type="pct"/>
        </w:tcPr>
        <w:p w14:paraId="48E0D0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B908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8BA16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BC0C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28AB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6208" w14:paraId="7A1494A4" w14:textId="77777777" w:rsidTr="009C1E9A">
      <w:trPr>
        <w:cantSplit/>
      </w:trPr>
      <w:tc>
        <w:tcPr>
          <w:tcW w:w="0" w:type="pct"/>
        </w:tcPr>
        <w:p w14:paraId="0DF5A7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35CC7D" w14:textId="5DE75C76" w:rsidR="00EC379B" w:rsidRPr="009C1E9A" w:rsidRDefault="00400E6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20699-D</w:t>
          </w:r>
        </w:p>
      </w:tc>
      <w:tc>
        <w:tcPr>
          <w:tcW w:w="2453" w:type="pct"/>
        </w:tcPr>
        <w:p w14:paraId="3EF28CE9" w14:textId="6BFA23B5" w:rsidR="00EC379B" w:rsidRDefault="00400E6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C7DD4">
            <w:t>23.87.561</w:t>
          </w:r>
          <w:r>
            <w:fldChar w:fldCharType="end"/>
          </w:r>
        </w:p>
      </w:tc>
    </w:tr>
    <w:tr w:rsidR="009C6208" w14:paraId="6CEC68DE" w14:textId="77777777" w:rsidTr="009C1E9A">
      <w:trPr>
        <w:cantSplit/>
      </w:trPr>
      <w:tc>
        <w:tcPr>
          <w:tcW w:w="0" w:type="pct"/>
        </w:tcPr>
        <w:p w14:paraId="02975B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90BF83" w14:textId="029E3CDD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0FBDF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F862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6208" w14:paraId="714D556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47FF745" w14:textId="6BABFBC7" w:rsidR="00EC379B" w:rsidRDefault="00400E6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07D6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3DFE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D1FB8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B68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0DA4" w14:textId="77777777" w:rsidR="00000000" w:rsidRDefault="00400E6B">
      <w:r>
        <w:separator/>
      </w:r>
    </w:p>
  </w:footnote>
  <w:footnote w:type="continuationSeparator" w:id="0">
    <w:p w14:paraId="275C922F" w14:textId="77777777" w:rsidR="00000000" w:rsidRDefault="0040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0A8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5E5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38C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2AF6"/>
    <w:multiLevelType w:val="hybridMultilevel"/>
    <w:tmpl w:val="B14AEEF4"/>
    <w:lvl w:ilvl="0" w:tplc="A3BCD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44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6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4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C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01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5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88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02C0"/>
    <w:multiLevelType w:val="hybridMultilevel"/>
    <w:tmpl w:val="6726BC6C"/>
    <w:lvl w:ilvl="0" w:tplc="25324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8D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03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0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E4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4D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09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8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02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50705">
    <w:abstractNumId w:val="0"/>
  </w:num>
  <w:num w:numId="2" w16cid:durableId="183279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E0"/>
    <w:rsid w:val="00000A70"/>
    <w:rsid w:val="000032B8"/>
    <w:rsid w:val="00003B06"/>
    <w:rsid w:val="000054B9"/>
    <w:rsid w:val="00007461"/>
    <w:rsid w:val="000075A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2CF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431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D7C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E1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E2E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17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696"/>
    <w:rsid w:val="002D305A"/>
    <w:rsid w:val="002D50A4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5CE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FDC"/>
    <w:rsid w:val="003D726D"/>
    <w:rsid w:val="003E0875"/>
    <w:rsid w:val="003E0BB8"/>
    <w:rsid w:val="003E6CB0"/>
    <w:rsid w:val="003F1076"/>
    <w:rsid w:val="003F1F5E"/>
    <w:rsid w:val="003F286A"/>
    <w:rsid w:val="003F77F8"/>
    <w:rsid w:val="00400ACD"/>
    <w:rsid w:val="00400E6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379"/>
    <w:rsid w:val="0043190E"/>
    <w:rsid w:val="004324E9"/>
    <w:rsid w:val="004350F3"/>
    <w:rsid w:val="00436980"/>
    <w:rsid w:val="00441016"/>
    <w:rsid w:val="00441F2F"/>
    <w:rsid w:val="0044228B"/>
    <w:rsid w:val="00443B81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22D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288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3958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7B1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2D5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79A"/>
    <w:rsid w:val="00617411"/>
    <w:rsid w:val="006213F7"/>
    <w:rsid w:val="006249CB"/>
    <w:rsid w:val="006272DD"/>
    <w:rsid w:val="00630963"/>
    <w:rsid w:val="006311BC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48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B62"/>
    <w:rsid w:val="006F006B"/>
    <w:rsid w:val="006F365D"/>
    <w:rsid w:val="006F4BB0"/>
    <w:rsid w:val="006F6B4D"/>
    <w:rsid w:val="007031BD"/>
    <w:rsid w:val="00703E80"/>
    <w:rsid w:val="00705276"/>
    <w:rsid w:val="007066A0"/>
    <w:rsid w:val="007075FB"/>
    <w:rsid w:val="0070787B"/>
    <w:rsid w:val="00707D6A"/>
    <w:rsid w:val="0071131D"/>
    <w:rsid w:val="00711E3D"/>
    <w:rsid w:val="00711E85"/>
    <w:rsid w:val="00712DDA"/>
    <w:rsid w:val="00717124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7DB"/>
    <w:rsid w:val="007509BE"/>
    <w:rsid w:val="0075287B"/>
    <w:rsid w:val="00755C7B"/>
    <w:rsid w:val="00764786"/>
    <w:rsid w:val="00766E12"/>
    <w:rsid w:val="0077098E"/>
    <w:rsid w:val="00771287"/>
    <w:rsid w:val="0077149E"/>
    <w:rsid w:val="00772D8D"/>
    <w:rsid w:val="00777518"/>
    <w:rsid w:val="0077779E"/>
    <w:rsid w:val="00780FB6"/>
    <w:rsid w:val="0078552A"/>
    <w:rsid w:val="00785729"/>
    <w:rsid w:val="00786058"/>
    <w:rsid w:val="00786DED"/>
    <w:rsid w:val="0079487D"/>
    <w:rsid w:val="007966D4"/>
    <w:rsid w:val="00796A0A"/>
    <w:rsid w:val="0079792C"/>
    <w:rsid w:val="007A0989"/>
    <w:rsid w:val="007A331F"/>
    <w:rsid w:val="007A3606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DD4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C74"/>
    <w:rsid w:val="00835628"/>
    <w:rsid w:val="00835E90"/>
    <w:rsid w:val="0084176D"/>
    <w:rsid w:val="008423E4"/>
    <w:rsid w:val="00842900"/>
    <w:rsid w:val="00850CF0"/>
    <w:rsid w:val="0085105A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1BF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19A8"/>
    <w:rsid w:val="00946044"/>
    <w:rsid w:val="009465AB"/>
    <w:rsid w:val="00946DEE"/>
    <w:rsid w:val="00953499"/>
    <w:rsid w:val="009539F4"/>
    <w:rsid w:val="009545FD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27C"/>
    <w:rsid w:val="00985300"/>
    <w:rsid w:val="00986720"/>
    <w:rsid w:val="00987F00"/>
    <w:rsid w:val="0099403D"/>
    <w:rsid w:val="00995B0B"/>
    <w:rsid w:val="009A1883"/>
    <w:rsid w:val="009A22E4"/>
    <w:rsid w:val="009A388A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208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125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FDC"/>
    <w:rsid w:val="00A46902"/>
    <w:rsid w:val="00A50CDB"/>
    <w:rsid w:val="00A51F3E"/>
    <w:rsid w:val="00A5364B"/>
    <w:rsid w:val="00A54009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D6B"/>
    <w:rsid w:val="00A87F8A"/>
    <w:rsid w:val="00A932BB"/>
    <w:rsid w:val="00A93579"/>
    <w:rsid w:val="00A93934"/>
    <w:rsid w:val="00A95D51"/>
    <w:rsid w:val="00A976D0"/>
    <w:rsid w:val="00A97795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D8B"/>
    <w:rsid w:val="00AE1B39"/>
    <w:rsid w:val="00AE2263"/>
    <w:rsid w:val="00AE248E"/>
    <w:rsid w:val="00AE2D12"/>
    <w:rsid w:val="00AE2F06"/>
    <w:rsid w:val="00AE4F1C"/>
    <w:rsid w:val="00AF1433"/>
    <w:rsid w:val="00AF48B4"/>
    <w:rsid w:val="00AF4923"/>
    <w:rsid w:val="00AF5024"/>
    <w:rsid w:val="00AF7C74"/>
    <w:rsid w:val="00B000AF"/>
    <w:rsid w:val="00B0184D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09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28B"/>
    <w:rsid w:val="00B92D23"/>
    <w:rsid w:val="00B95BC8"/>
    <w:rsid w:val="00B96E87"/>
    <w:rsid w:val="00BA13BE"/>
    <w:rsid w:val="00BA146A"/>
    <w:rsid w:val="00BA32EE"/>
    <w:rsid w:val="00BB5B36"/>
    <w:rsid w:val="00BC027B"/>
    <w:rsid w:val="00BC1D66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F94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66F"/>
    <w:rsid w:val="00CF14B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0D1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2CF1"/>
    <w:rsid w:val="00DA3687"/>
    <w:rsid w:val="00DA39F2"/>
    <w:rsid w:val="00DA564B"/>
    <w:rsid w:val="00DA6A5C"/>
    <w:rsid w:val="00DB311F"/>
    <w:rsid w:val="00DB53C6"/>
    <w:rsid w:val="00DB59E3"/>
    <w:rsid w:val="00DB5D39"/>
    <w:rsid w:val="00DB6CB6"/>
    <w:rsid w:val="00DB758F"/>
    <w:rsid w:val="00DC1F1B"/>
    <w:rsid w:val="00DC3511"/>
    <w:rsid w:val="00DC3D8F"/>
    <w:rsid w:val="00DC42E8"/>
    <w:rsid w:val="00DC6DBB"/>
    <w:rsid w:val="00DC7761"/>
    <w:rsid w:val="00DD0022"/>
    <w:rsid w:val="00DD073C"/>
    <w:rsid w:val="00DD128C"/>
    <w:rsid w:val="00DD1B8F"/>
    <w:rsid w:val="00DD2687"/>
    <w:rsid w:val="00DD5BCC"/>
    <w:rsid w:val="00DD7509"/>
    <w:rsid w:val="00DD79C7"/>
    <w:rsid w:val="00DD7D6E"/>
    <w:rsid w:val="00DE34B2"/>
    <w:rsid w:val="00DE49DE"/>
    <w:rsid w:val="00DE618B"/>
    <w:rsid w:val="00DE6EC2"/>
    <w:rsid w:val="00DE76D9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7EE0"/>
    <w:rsid w:val="00E61159"/>
    <w:rsid w:val="00E625DA"/>
    <w:rsid w:val="00E634DC"/>
    <w:rsid w:val="00E667F3"/>
    <w:rsid w:val="00E67794"/>
    <w:rsid w:val="00E70CC6"/>
    <w:rsid w:val="00E71254"/>
    <w:rsid w:val="00E73CCD"/>
    <w:rsid w:val="00E75DE5"/>
    <w:rsid w:val="00E76453"/>
    <w:rsid w:val="00E77353"/>
    <w:rsid w:val="00E775AE"/>
    <w:rsid w:val="00E77620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A02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289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DA8"/>
    <w:rsid w:val="00FE0EB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498460-7E4C-40B4-A663-B87CCC1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E0D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0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0D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0D8B"/>
    <w:rPr>
      <w:b/>
      <w:bCs/>
    </w:rPr>
  </w:style>
  <w:style w:type="paragraph" w:styleId="Revision">
    <w:name w:val="Revision"/>
    <w:hidden/>
    <w:uiPriority w:val="99"/>
    <w:semiHidden/>
    <w:rsid w:val="00206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2529</Characters>
  <Application>Microsoft Office Word</Application>
  <DocSecurity>4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HB00207 (Committee Report (Unamended))</vt:lpstr>
    </vt:vector>
  </TitlesOfParts>
  <Company>State of Texas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20699</dc:subject>
  <dc:creator>State of Texas</dc:creator>
  <dc:description>HB 207 by Murr-(H)Business &amp; Industry</dc:description>
  <cp:lastModifiedBy>Stacey Nicchio</cp:lastModifiedBy>
  <cp:revision>2</cp:revision>
  <cp:lastPrinted>2003-11-26T17:21:00Z</cp:lastPrinted>
  <dcterms:created xsi:type="dcterms:W3CDTF">2023-04-06T21:59:00Z</dcterms:created>
  <dcterms:modified xsi:type="dcterms:W3CDTF">2023-04-06T21:59:00Z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23.87.561</vt:lpwstr>
  </property>
</Properties>
</file>