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127CF" w14:paraId="78A93CB3" w14:textId="77777777" w:rsidTr="00345119">
        <w:tc>
          <w:tcPr>
            <w:tcW w:w="9576" w:type="dxa"/>
            <w:noWrap/>
          </w:tcPr>
          <w:p w14:paraId="359A39D4" w14:textId="77777777" w:rsidR="008423E4" w:rsidRPr="0022177D" w:rsidRDefault="002D2E3D" w:rsidP="00B73F08">
            <w:pPr>
              <w:pStyle w:val="Heading1"/>
            </w:pPr>
            <w:r w:rsidRPr="00631897">
              <w:t>BILL ANALYSIS</w:t>
            </w:r>
          </w:p>
        </w:tc>
      </w:tr>
    </w:tbl>
    <w:p w14:paraId="0F8A9232" w14:textId="77777777" w:rsidR="008423E4" w:rsidRPr="0022177D" w:rsidRDefault="008423E4" w:rsidP="00B73F08">
      <w:pPr>
        <w:jc w:val="center"/>
      </w:pPr>
    </w:p>
    <w:p w14:paraId="521742AF" w14:textId="77777777" w:rsidR="008423E4" w:rsidRPr="00B31F0E" w:rsidRDefault="008423E4" w:rsidP="00B73F08"/>
    <w:p w14:paraId="61660817" w14:textId="77777777" w:rsidR="008423E4" w:rsidRPr="00742794" w:rsidRDefault="008423E4" w:rsidP="00B73F0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127CF" w14:paraId="256AF8DE" w14:textId="77777777" w:rsidTr="00345119">
        <w:tc>
          <w:tcPr>
            <w:tcW w:w="9576" w:type="dxa"/>
          </w:tcPr>
          <w:p w14:paraId="2251565D" w14:textId="2383D932" w:rsidR="008423E4" w:rsidRPr="00861995" w:rsidRDefault="002D2E3D" w:rsidP="00B73F08">
            <w:pPr>
              <w:jc w:val="right"/>
            </w:pPr>
            <w:r>
              <w:t>C.S.H.B. 232</w:t>
            </w:r>
          </w:p>
        </w:tc>
      </w:tr>
      <w:tr w:rsidR="00F127CF" w14:paraId="2FAF2D0A" w14:textId="77777777" w:rsidTr="00345119">
        <w:tc>
          <w:tcPr>
            <w:tcW w:w="9576" w:type="dxa"/>
          </w:tcPr>
          <w:p w14:paraId="13DA1047" w14:textId="1426E9C9" w:rsidR="008423E4" w:rsidRPr="00861995" w:rsidRDefault="002D2E3D" w:rsidP="00B73F08">
            <w:pPr>
              <w:jc w:val="right"/>
            </w:pPr>
            <w:r>
              <w:t xml:space="preserve">By: </w:t>
            </w:r>
            <w:r w:rsidR="00683B37">
              <w:t>Swanson</w:t>
            </w:r>
          </w:p>
        </w:tc>
      </w:tr>
      <w:tr w:rsidR="00F127CF" w14:paraId="67012CA1" w14:textId="77777777" w:rsidTr="00345119">
        <w:tc>
          <w:tcPr>
            <w:tcW w:w="9576" w:type="dxa"/>
          </w:tcPr>
          <w:p w14:paraId="6E5FA9C7" w14:textId="27BAE457" w:rsidR="008423E4" w:rsidRPr="00861995" w:rsidRDefault="002D2E3D" w:rsidP="00B73F08">
            <w:pPr>
              <w:jc w:val="right"/>
            </w:pPr>
            <w:r>
              <w:t>Elections</w:t>
            </w:r>
          </w:p>
        </w:tc>
      </w:tr>
      <w:tr w:rsidR="00F127CF" w14:paraId="08A6A830" w14:textId="77777777" w:rsidTr="00345119">
        <w:tc>
          <w:tcPr>
            <w:tcW w:w="9576" w:type="dxa"/>
          </w:tcPr>
          <w:p w14:paraId="331A07B6" w14:textId="0DCD53EC" w:rsidR="008423E4" w:rsidRDefault="002D2E3D" w:rsidP="00B73F08">
            <w:pPr>
              <w:jc w:val="right"/>
            </w:pPr>
            <w:r>
              <w:t>Committee Report (Substituted)</w:t>
            </w:r>
          </w:p>
        </w:tc>
      </w:tr>
    </w:tbl>
    <w:p w14:paraId="7C8EEF75" w14:textId="77777777" w:rsidR="008423E4" w:rsidRDefault="008423E4" w:rsidP="00B73F08">
      <w:pPr>
        <w:tabs>
          <w:tab w:val="right" w:pos="9360"/>
        </w:tabs>
      </w:pPr>
    </w:p>
    <w:p w14:paraId="12855A49" w14:textId="77777777" w:rsidR="008423E4" w:rsidRDefault="008423E4" w:rsidP="00B73F08"/>
    <w:p w14:paraId="20E562E3" w14:textId="77777777" w:rsidR="008423E4" w:rsidRDefault="008423E4" w:rsidP="00B73F0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127CF" w14:paraId="13DAC9FD" w14:textId="77777777" w:rsidTr="00345119">
        <w:tc>
          <w:tcPr>
            <w:tcW w:w="9576" w:type="dxa"/>
          </w:tcPr>
          <w:p w14:paraId="1B0F5311" w14:textId="77777777" w:rsidR="008423E4" w:rsidRPr="00A8133F" w:rsidRDefault="002D2E3D" w:rsidP="00B73F0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5F27A49" w14:textId="77777777" w:rsidR="008423E4" w:rsidRDefault="008423E4" w:rsidP="00B73F08"/>
          <w:p w14:paraId="1425EB74" w14:textId="11BA17D8" w:rsidR="00491C84" w:rsidRPr="00BB4072" w:rsidRDefault="002D2E3D" w:rsidP="00B73F08">
            <w:pPr>
              <w:jc w:val="both"/>
            </w:pPr>
            <w:r w:rsidRPr="00BB4072">
              <w:t xml:space="preserve">Candidates for </w:t>
            </w:r>
            <w:r w:rsidR="002549A8">
              <w:t xml:space="preserve">state, county, and congressional </w:t>
            </w:r>
            <w:r>
              <w:t>elected office</w:t>
            </w:r>
            <w:r w:rsidRPr="00BB4072">
              <w:t xml:space="preserve"> are required to pay a filing fee</w:t>
            </w:r>
            <w:r w:rsidR="00DA58CC">
              <w:t xml:space="preserve">, </w:t>
            </w:r>
            <w:r w:rsidRPr="00BB4072">
              <w:t xml:space="preserve">the amount of which is set by </w:t>
            </w:r>
            <w:r w:rsidRPr="00BB4072">
              <w:t>statute</w:t>
            </w:r>
            <w:r w:rsidR="00DA58CC">
              <w:t>,</w:t>
            </w:r>
            <w:r w:rsidRPr="00BB4072">
              <w:t xml:space="preserve"> prior to running for office to help defray the cost of elections. Concerns have been raised that the</w:t>
            </w:r>
            <w:r w:rsidR="00E668BB">
              <w:t>se</w:t>
            </w:r>
            <w:r w:rsidRPr="00BB4072">
              <w:t xml:space="preserve"> fee</w:t>
            </w:r>
            <w:r w:rsidR="00E668BB">
              <w:t>s</w:t>
            </w:r>
            <w:r w:rsidRPr="00BB4072">
              <w:t xml:space="preserve"> </w:t>
            </w:r>
            <w:r w:rsidR="00E668BB">
              <w:t>have</w:t>
            </w:r>
            <w:r w:rsidRPr="00BB4072">
              <w:t xml:space="preserve"> not increased to match inflation.</w:t>
            </w:r>
            <w:r>
              <w:t xml:space="preserve"> </w:t>
            </w:r>
            <w:r w:rsidR="00DA58CC">
              <w:t>C.S.H.B. 232 seeks to address these concerns by increasing the filing fee</w:t>
            </w:r>
            <w:r w:rsidR="00E668BB">
              <w:t>s</w:t>
            </w:r>
            <w:r w:rsidR="00DA58CC">
              <w:t xml:space="preserve"> to run for </w:t>
            </w:r>
            <w:r w:rsidR="002549A8">
              <w:t xml:space="preserve">such </w:t>
            </w:r>
            <w:r w:rsidR="00E120F9">
              <w:t>candidates</w:t>
            </w:r>
            <w:r w:rsidR="00DA58CC">
              <w:t xml:space="preserve"> in the general primary election. </w:t>
            </w:r>
          </w:p>
          <w:p w14:paraId="5C99D059" w14:textId="77777777" w:rsidR="008423E4" w:rsidRPr="00E26B13" w:rsidRDefault="008423E4" w:rsidP="00B73F08">
            <w:pPr>
              <w:rPr>
                <w:b/>
              </w:rPr>
            </w:pPr>
          </w:p>
        </w:tc>
      </w:tr>
      <w:tr w:rsidR="00F127CF" w14:paraId="3A3C6A7C" w14:textId="77777777" w:rsidTr="00345119">
        <w:tc>
          <w:tcPr>
            <w:tcW w:w="9576" w:type="dxa"/>
          </w:tcPr>
          <w:p w14:paraId="4B83B8B7" w14:textId="77777777" w:rsidR="0017725B" w:rsidRDefault="002D2E3D" w:rsidP="00B73F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7521B1A" w14:textId="77777777" w:rsidR="0017725B" w:rsidRDefault="0017725B" w:rsidP="00B73F08">
            <w:pPr>
              <w:rPr>
                <w:b/>
                <w:u w:val="single"/>
              </w:rPr>
            </w:pPr>
          </w:p>
          <w:p w14:paraId="7E4BD293" w14:textId="3DDA4431" w:rsidR="005A4528" w:rsidRPr="005A4528" w:rsidRDefault="002D2E3D" w:rsidP="00B73F08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</w:t>
            </w:r>
            <w:r>
              <w:t>ility of a person for community supervision, parole, or mandatory supervision.</w:t>
            </w:r>
          </w:p>
          <w:p w14:paraId="790B1BF4" w14:textId="77777777" w:rsidR="0017725B" w:rsidRPr="0017725B" w:rsidRDefault="0017725B" w:rsidP="00B73F08">
            <w:pPr>
              <w:rPr>
                <w:b/>
                <w:u w:val="single"/>
              </w:rPr>
            </w:pPr>
          </w:p>
        </w:tc>
      </w:tr>
      <w:tr w:rsidR="00F127CF" w14:paraId="49CD440F" w14:textId="77777777" w:rsidTr="00345119">
        <w:tc>
          <w:tcPr>
            <w:tcW w:w="9576" w:type="dxa"/>
          </w:tcPr>
          <w:p w14:paraId="3ACDE0DA" w14:textId="77777777" w:rsidR="008423E4" w:rsidRPr="00A8133F" w:rsidRDefault="002D2E3D" w:rsidP="00B73F0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737E1D1" w14:textId="77777777" w:rsidR="008423E4" w:rsidRDefault="008423E4" w:rsidP="00B73F08"/>
          <w:p w14:paraId="2841C699" w14:textId="7E6C9726" w:rsidR="005A4528" w:rsidRDefault="002D2E3D" w:rsidP="00B73F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agency, or </w:t>
            </w:r>
            <w:r>
              <w:t>institution.</w:t>
            </w:r>
          </w:p>
          <w:p w14:paraId="4DB23CA4" w14:textId="77777777" w:rsidR="008423E4" w:rsidRPr="00E21FDC" w:rsidRDefault="008423E4" w:rsidP="00B73F08">
            <w:pPr>
              <w:rPr>
                <w:b/>
              </w:rPr>
            </w:pPr>
          </w:p>
        </w:tc>
      </w:tr>
      <w:tr w:rsidR="00F127CF" w14:paraId="40F7CDC7" w14:textId="77777777" w:rsidTr="00345119">
        <w:tc>
          <w:tcPr>
            <w:tcW w:w="9576" w:type="dxa"/>
          </w:tcPr>
          <w:p w14:paraId="62B8BD2D" w14:textId="77777777" w:rsidR="008423E4" w:rsidRPr="00A8133F" w:rsidRDefault="002D2E3D" w:rsidP="00B73F0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43E5D5C" w14:textId="77777777" w:rsidR="008423E4" w:rsidRDefault="008423E4" w:rsidP="00B73F08"/>
          <w:p w14:paraId="1F69B6F4" w14:textId="721FC9C7" w:rsidR="005F43C1" w:rsidRDefault="002D2E3D" w:rsidP="00B73F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48061E">
              <w:t xml:space="preserve">H.B. 232 amends the Election Code to </w:t>
            </w:r>
            <w:r w:rsidR="00471615">
              <w:t>increase the filing fee</w:t>
            </w:r>
            <w:r w:rsidR="00CE6E59">
              <w:t>s</w:t>
            </w:r>
            <w:r w:rsidR="00471615">
              <w:t xml:space="preserve"> for candidate</w:t>
            </w:r>
            <w:r w:rsidR="00B26F3C">
              <w:t>s</w:t>
            </w:r>
            <w:r w:rsidR="00471615">
              <w:t xml:space="preserve"> </w:t>
            </w:r>
            <w:r w:rsidR="00471615" w:rsidRPr="00493EB7">
              <w:t>in the general primary election</w:t>
            </w:r>
            <w:r w:rsidR="00491C84">
              <w:t xml:space="preserve"> as follows</w:t>
            </w:r>
            <w:r>
              <w:t>:</w:t>
            </w:r>
          </w:p>
          <w:p w14:paraId="5AB12D5D" w14:textId="265272CE" w:rsidR="005F43C1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$5,000 to $10,000 for a United States </w:t>
            </w:r>
            <w:r w:rsidR="005A73CA">
              <w:t>s</w:t>
            </w:r>
            <w:r>
              <w:t>enator</w:t>
            </w:r>
            <w:r w:rsidR="005A73CA">
              <w:t>;</w:t>
            </w:r>
          </w:p>
          <w:p w14:paraId="1199CC75" w14:textId="75A0ADAB" w:rsidR="005A73CA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$3,750 to $7,500 for an office elected </w:t>
            </w:r>
            <w:r>
              <w:t>statewide, except United States senator;</w:t>
            </w:r>
          </w:p>
          <w:p w14:paraId="14FEAE0A" w14:textId="684B3405" w:rsidR="005A73CA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$3,125 to $6,250 for a United States representative</w:t>
            </w:r>
            <w:r w:rsidR="00721CB0">
              <w:t>;</w:t>
            </w:r>
          </w:p>
          <w:p w14:paraId="421D2C6E" w14:textId="293F1C11" w:rsidR="005A73CA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$1,250 to $2,500 </w:t>
            </w:r>
            <w:r w:rsidR="00116B91">
              <w:t>for a state senator</w:t>
            </w:r>
            <w:r w:rsidR="00721CB0">
              <w:t>;</w:t>
            </w:r>
          </w:p>
          <w:p w14:paraId="634E56D3" w14:textId="21737CB0" w:rsidR="00201B9B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$750 to $1,500 for a state representative;</w:t>
            </w:r>
          </w:p>
          <w:p w14:paraId="0D69705D" w14:textId="752477F0" w:rsidR="00116B91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$300 to $600</w:t>
            </w:r>
            <w:r w:rsidR="00F67869">
              <w:t xml:space="preserve"> </w:t>
            </w:r>
            <w:r w:rsidR="00094709">
              <w:t>for a member of the State Board of Education</w:t>
            </w:r>
            <w:r w:rsidR="00721CB0">
              <w:t>;</w:t>
            </w:r>
          </w:p>
          <w:p w14:paraId="4075B3CF" w14:textId="488CC1FE" w:rsidR="00FD5B8E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</w:t>
            </w:r>
            <w:r>
              <w:t xml:space="preserve">om $1,875 to </w:t>
            </w:r>
            <w:r w:rsidR="00094709">
              <w:t xml:space="preserve">$3,750 </w:t>
            </w:r>
            <w:r w:rsidR="000C68BD">
              <w:t>for a chief justice or justice</w:t>
            </w:r>
            <w:r>
              <w:t xml:space="preserve"> of a </w:t>
            </w:r>
            <w:r w:rsidR="000C68BD">
              <w:t xml:space="preserve">court of appeals, other than a justice that serves a court of appeals district </w:t>
            </w:r>
            <w:r>
              <w:t xml:space="preserve">in which a county with a population of </w:t>
            </w:r>
            <w:r w:rsidR="000C68BD">
              <w:t>more than one million is wholly or partly situated</w:t>
            </w:r>
            <w:r>
              <w:t>;</w:t>
            </w:r>
            <w:r w:rsidR="000C68BD">
              <w:t xml:space="preserve"> </w:t>
            </w:r>
          </w:p>
          <w:p w14:paraId="0B0E72E6" w14:textId="5AFAF9EC" w:rsidR="00094709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$2,500</w:t>
            </w:r>
            <w:r w:rsidR="00FD5B8E">
              <w:t xml:space="preserve"> to $5,000 for a chief justice or justice of a court of appeals that serves such a court of appeals district</w:t>
            </w:r>
            <w:r w:rsidR="00721CB0">
              <w:t>;</w:t>
            </w:r>
          </w:p>
          <w:p w14:paraId="24A9A704" w14:textId="6952CBF7" w:rsidR="000C68BD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$1,500 to </w:t>
            </w:r>
            <w:r w:rsidR="00D71042">
              <w:t xml:space="preserve">$3,000 </w:t>
            </w:r>
            <w:r w:rsidR="00721CB0">
              <w:t xml:space="preserve">for </w:t>
            </w:r>
            <w:r>
              <w:t xml:space="preserve">a </w:t>
            </w:r>
            <w:r w:rsidR="00721CB0">
              <w:t>district judge or judge for which a fee</w:t>
            </w:r>
            <w:r w:rsidR="00872DCE">
              <w:t xml:space="preserve"> is not otherwise prescribed</w:t>
            </w:r>
            <w:r w:rsidR="00721CB0">
              <w:t>;</w:t>
            </w:r>
          </w:p>
          <w:p w14:paraId="28498CA7" w14:textId="2EB180DB" w:rsidR="00721CB0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$2,500 to </w:t>
            </w:r>
            <w:r>
              <w:t xml:space="preserve">$5,000 for a district or criminal </w:t>
            </w:r>
            <w:r w:rsidR="00804E32">
              <w:t>district judge of a court in a judicial district wholly contained in a county with a population of more than 1.5 million;</w:t>
            </w:r>
          </w:p>
          <w:p w14:paraId="01C83B2F" w14:textId="75D066C9" w:rsidR="00804E32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$1,500 to $3,000 for a judge of a statutory court, other than a judge of a statutory court in a</w:t>
            </w:r>
            <w:r>
              <w:t xml:space="preserve"> county with </w:t>
            </w:r>
            <w:r w:rsidR="00EB5098">
              <w:t>a population of more than 1.5 million</w:t>
            </w:r>
            <w:r>
              <w:t>;</w:t>
            </w:r>
          </w:p>
          <w:p w14:paraId="50815422" w14:textId="10F0FF47" w:rsidR="00E537FF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$2,500 to $5,000 for a judge of a statutory court in a county with a population of more than 1.5 million;</w:t>
            </w:r>
          </w:p>
          <w:p w14:paraId="087DFBB2" w14:textId="5F653D6C" w:rsidR="00E537FF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$1,250 to $2,500 for a district attorney, criminal district attorney, or a county attorn</w:t>
            </w:r>
            <w:r>
              <w:t>ey performing the duties of a district attorney;</w:t>
            </w:r>
          </w:p>
          <w:p w14:paraId="35282AE7" w14:textId="0DE7382F" w:rsidR="00EB5098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for a county commissioner, district clerk, county clerk, sheriff, county tax assessor</w:t>
            </w:r>
            <w:r w:rsidR="00B166E2">
              <w:noBreakHyphen/>
            </w:r>
            <w:r>
              <w:t>collector, county treasurer, or judge, constitutional county court:</w:t>
            </w:r>
          </w:p>
          <w:p w14:paraId="4D873E15" w14:textId="7ECEF8C1" w:rsidR="00E537FF" w:rsidRDefault="002D2E3D" w:rsidP="00B73F08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$1,250 to $2,500 in </w:t>
            </w:r>
            <w:r w:rsidR="00042C00">
              <w:t xml:space="preserve">a </w:t>
            </w:r>
            <w:r>
              <w:t>county with a population o</w:t>
            </w:r>
            <w:r>
              <w:t>f 200,000 or more;</w:t>
            </w:r>
            <w:r w:rsidR="00201B9B">
              <w:t xml:space="preserve"> and</w:t>
            </w:r>
          </w:p>
          <w:p w14:paraId="197C4023" w14:textId="04A00713" w:rsidR="00E537FF" w:rsidRDefault="002D2E3D" w:rsidP="00B73F08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</w:t>
            </w:r>
            <w:r w:rsidR="00201B9B">
              <w:t>$750 to $1,500 in a county with a population of under 200,000;</w:t>
            </w:r>
          </w:p>
          <w:p w14:paraId="1D1A2FDD" w14:textId="5559201D" w:rsidR="00EB5098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for a justice of the peace or constable:</w:t>
            </w:r>
          </w:p>
          <w:p w14:paraId="278BBE7F" w14:textId="3A05FD8A" w:rsidR="00EB5098" w:rsidRDefault="002D2E3D" w:rsidP="00B73F08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$1,</w:t>
            </w:r>
            <w:r w:rsidR="007A6E07">
              <w:t>00</w:t>
            </w:r>
            <w:r>
              <w:t>0 to $2,</w:t>
            </w:r>
            <w:r w:rsidR="007A6E07">
              <w:t>0</w:t>
            </w:r>
            <w:r>
              <w:t>00 in a county with a population of 200,000 or more; and</w:t>
            </w:r>
          </w:p>
          <w:p w14:paraId="0A3844C3" w14:textId="12F1F60D" w:rsidR="00EB5098" w:rsidRDefault="002D2E3D" w:rsidP="00B73F08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$375 to $750 in a county with a population </w:t>
            </w:r>
            <w:r>
              <w:t>of under 200,000</w:t>
            </w:r>
            <w:r w:rsidR="00824F55">
              <w:t xml:space="preserve">; </w:t>
            </w:r>
          </w:p>
          <w:p w14:paraId="5B10C246" w14:textId="677916B4" w:rsidR="00EB5098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from $75 to </w:t>
            </w:r>
            <w:r w:rsidR="00824F55">
              <w:t>$150 for a county surveyor; and</w:t>
            </w:r>
          </w:p>
          <w:p w14:paraId="003850C5" w14:textId="2FD1BA0F" w:rsidR="00824F55" w:rsidRDefault="002D2E3D" w:rsidP="00B73F08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from $750 to $1,500 for an office of the county government for</w:t>
            </w:r>
            <w:r w:rsidR="007A6E07">
              <w:t xml:space="preserve"> which</w:t>
            </w:r>
            <w:r>
              <w:t xml:space="preserve"> a fee is not otherwise prescribed. </w:t>
            </w:r>
          </w:p>
          <w:p w14:paraId="0B11B274" w14:textId="77777777" w:rsidR="008423E4" w:rsidRPr="00835628" w:rsidRDefault="008423E4" w:rsidP="00B73F08">
            <w:pPr>
              <w:rPr>
                <w:b/>
              </w:rPr>
            </w:pPr>
          </w:p>
        </w:tc>
      </w:tr>
      <w:tr w:rsidR="00F127CF" w14:paraId="1EE09B87" w14:textId="77777777" w:rsidTr="00345119">
        <w:tc>
          <w:tcPr>
            <w:tcW w:w="9576" w:type="dxa"/>
          </w:tcPr>
          <w:p w14:paraId="7D9E29A0" w14:textId="77777777" w:rsidR="008423E4" w:rsidRPr="00A8133F" w:rsidRDefault="002D2E3D" w:rsidP="00B73F0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7AFD344" w14:textId="77777777" w:rsidR="008423E4" w:rsidRDefault="008423E4" w:rsidP="00B73F08"/>
          <w:p w14:paraId="6F48A028" w14:textId="7976F020" w:rsidR="008423E4" w:rsidRPr="003624F2" w:rsidRDefault="002D2E3D" w:rsidP="00B73F0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5035112C" w14:textId="77777777" w:rsidR="008423E4" w:rsidRPr="00233FDB" w:rsidRDefault="008423E4" w:rsidP="00B73F08">
            <w:pPr>
              <w:rPr>
                <w:b/>
              </w:rPr>
            </w:pPr>
          </w:p>
        </w:tc>
      </w:tr>
      <w:tr w:rsidR="00F127CF" w14:paraId="58168864" w14:textId="77777777" w:rsidTr="00345119">
        <w:tc>
          <w:tcPr>
            <w:tcW w:w="9576" w:type="dxa"/>
          </w:tcPr>
          <w:p w14:paraId="24EE07F3" w14:textId="77777777" w:rsidR="00683B37" w:rsidRDefault="002D2E3D" w:rsidP="00B73F0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COMPARISON OF INTRODUCED AND </w:t>
            </w:r>
            <w:r>
              <w:rPr>
                <w:b/>
                <w:u w:val="single"/>
              </w:rPr>
              <w:t>SUBSTITUTE</w:t>
            </w:r>
          </w:p>
          <w:p w14:paraId="3CC8E907" w14:textId="77777777" w:rsidR="00824F55" w:rsidRDefault="00824F55" w:rsidP="00B73F08">
            <w:pPr>
              <w:jc w:val="both"/>
            </w:pPr>
          </w:p>
          <w:p w14:paraId="650CF4E4" w14:textId="7A631160" w:rsidR="00824F55" w:rsidRDefault="002D2E3D" w:rsidP="00B73F08">
            <w:pPr>
              <w:jc w:val="both"/>
            </w:pPr>
            <w:r>
              <w:t>While C.S.H.B. 232 may differ from the introduced in minor or nonsubstantive ways, the following summarizes the substantial differences between the introduced and committee substitute versions of the bill.</w:t>
            </w:r>
          </w:p>
          <w:p w14:paraId="0D7C1F85" w14:textId="77777777" w:rsidR="00CE47A9" w:rsidRDefault="00CE47A9" w:rsidP="00B73F08">
            <w:pPr>
              <w:jc w:val="both"/>
              <w:rPr>
                <w:bCs/>
              </w:rPr>
            </w:pPr>
          </w:p>
          <w:p w14:paraId="1C1E790C" w14:textId="6D34610D" w:rsidR="00824F55" w:rsidRPr="00824F55" w:rsidRDefault="002D2E3D" w:rsidP="00B73F08">
            <w:pPr>
              <w:jc w:val="both"/>
            </w:pPr>
            <w:r>
              <w:rPr>
                <w:bCs/>
              </w:rPr>
              <w:t>The only fee the introduced increased</w:t>
            </w:r>
            <w:r>
              <w:rPr>
                <w:bCs/>
              </w:rPr>
              <w:t xml:space="preserve"> was the filing fee for a candidate for state representative in the general primary election, from $750 to $1,250. The substitute increases that filing fee to $1,500 instead and also increases the filing fees for candidates for all the other elected office</w:t>
            </w:r>
            <w:r>
              <w:rPr>
                <w:bCs/>
              </w:rPr>
              <w:t>s in that election.</w:t>
            </w:r>
          </w:p>
        </w:tc>
      </w:tr>
      <w:tr w:rsidR="00F127CF" w14:paraId="4B1478DA" w14:textId="77777777" w:rsidTr="00345119">
        <w:tc>
          <w:tcPr>
            <w:tcW w:w="9576" w:type="dxa"/>
          </w:tcPr>
          <w:p w14:paraId="5B2C3C5C" w14:textId="0CB8DE71" w:rsidR="00683B37" w:rsidRPr="00824F55" w:rsidRDefault="00683B37" w:rsidP="00B73F08">
            <w:pPr>
              <w:rPr>
                <w:bCs/>
              </w:rPr>
            </w:pPr>
          </w:p>
        </w:tc>
      </w:tr>
      <w:tr w:rsidR="00F127CF" w14:paraId="42E0D9F0" w14:textId="77777777" w:rsidTr="00345119">
        <w:tc>
          <w:tcPr>
            <w:tcW w:w="9576" w:type="dxa"/>
          </w:tcPr>
          <w:p w14:paraId="5436517C" w14:textId="77777777" w:rsidR="00683B37" w:rsidRPr="00683B37" w:rsidRDefault="00683B37" w:rsidP="00B73F08">
            <w:pPr>
              <w:jc w:val="both"/>
            </w:pPr>
          </w:p>
        </w:tc>
      </w:tr>
    </w:tbl>
    <w:p w14:paraId="29BB5C04" w14:textId="77777777" w:rsidR="008423E4" w:rsidRPr="00BE0E75" w:rsidRDefault="008423E4" w:rsidP="00B73F08">
      <w:pPr>
        <w:jc w:val="both"/>
        <w:rPr>
          <w:rFonts w:ascii="Arial" w:hAnsi="Arial"/>
          <w:sz w:val="16"/>
          <w:szCs w:val="16"/>
        </w:rPr>
      </w:pPr>
    </w:p>
    <w:p w14:paraId="13C5D45B" w14:textId="77777777" w:rsidR="004108C3" w:rsidRPr="008423E4" w:rsidRDefault="004108C3" w:rsidP="00B73F08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00E0" w14:textId="77777777" w:rsidR="00000000" w:rsidRDefault="002D2E3D">
      <w:r>
        <w:separator/>
      </w:r>
    </w:p>
  </w:endnote>
  <w:endnote w:type="continuationSeparator" w:id="0">
    <w:p w14:paraId="5376599A" w14:textId="77777777" w:rsidR="00000000" w:rsidRDefault="002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0C9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127CF" w14:paraId="10AD8DB3" w14:textId="77777777" w:rsidTr="009C1E9A">
      <w:trPr>
        <w:cantSplit/>
      </w:trPr>
      <w:tc>
        <w:tcPr>
          <w:tcW w:w="0" w:type="pct"/>
        </w:tcPr>
        <w:p w14:paraId="37FB94C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987C5E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8C0E5F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B424E6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9C5B49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127CF" w14:paraId="14F34E23" w14:textId="77777777" w:rsidTr="009C1E9A">
      <w:trPr>
        <w:cantSplit/>
      </w:trPr>
      <w:tc>
        <w:tcPr>
          <w:tcW w:w="0" w:type="pct"/>
        </w:tcPr>
        <w:p w14:paraId="6D21D02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53AACD3" w14:textId="4ACFBA63" w:rsidR="00EC379B" w:rsidRPr="009C1E9A" w:rsidRDefault="002D2E3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20990-D</w:t>
          </w:r>
        </w:p>
      </w:tc>
      <w:tc>
        <w:tcPr>
          <w:tcW w:w="2453" w:type="pct"/>
        </w:tcPr>
        <w:p w14:paraId="7704F9E2" w14:textId="5E58D03D" w:rsidR="00EC379B" w:rsidRDefault="002D2E3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0E3CBF">
            <w:t>23.89.178</w:t>
          </w:r>
          <w:r>
            <w:fldChar w:fldCharType="end"/>
          </w:r>
        </w:p>
      </w:tc>
    </w:tr>
    <w:tr w:rsidR="00F127CF" w14:paraId="6A830268" w14:textId="77777777" w:rsidTr="009C1E9A">
      <w:trPr>
        <w:cantSplit/>
      </w:trPr>
      <w:tc>
        <w:tcPr>
          <w:tcW w:w="0" w:type="pct"/>
        </w:tcPr>
        <w:p w14:paraId="5509521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19EC066" w14:textId="47D6B665" w:rsidR="00EC379B" w:rsidRPr="009C1E9A" w:rsidRDefault="002D2E3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20104</w:t>
          </w:r>
        </w:p>
      </w:tc>
      <w:tc>
        <w:tcPr>
          <w:tcW w:w="2453" w:type="pct"/>
        </w:tcPr>
        <w:p w14:paraId="224801E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F7E475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127CF" w14:paraId="568F624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F004605" w14:textId="77777777" w:rsidR="00EC379B" w:rsidRDefault="002D2E3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88AF96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5BA008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AA4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DDE9" w14:textId="77777777" w:rsidR="00000000" w:rsidRDefault="002D2E3D">
      <w:r>
        <w:separator/>
      </w:r>
    </w:p>
  </w:footnote>
  <w:footnote w:type="continuationSeparator" w:id="0">
    <w:p w14:paraId="3CB8BC21" w14:textId="77777777" w:rsidR="00000000" w:rsidRDefault="002D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AEA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5BB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4EBF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E4365"/>
    <w:multiLevelType w:val="hybridMultilevel"/>
    <w:tmpl w:val="6EDC47AC"/>
    <w:lvl w:ilvl="0" w:tplc="CE7C1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E3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67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4E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0F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6F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66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1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2F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1E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2C00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4709"/>
    <w:rsid w:val="00097AAF"/>
    <w:rsid w:val="00097D13"/>
    <w:rsid w:val="000A4893"/>
    <w:rsid w:val="000A54E0"/>
    <w:rsid w:val="000A72C4"/>
    <w:rsid w:val="000B0F30"/>
    <w:rsid w:val="000B1486"/>
    <w:rsid w:val="000B3E61"/>
    <w:rsid w:val="000B3ED6"/>
    <w:rsid w:val="000B54AF"/>
    <w:rsid w:val="000B6090"/>
    <w:rsid w:val="000B6FEE"/>
    <w:rsid w:val="000C12C4"/>
    <w:rsid w:val="000C49DA"/>
    <w:rsid w:val="000C4B3D"/>
    <w:rsid w:val="000C68B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3CBF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16B91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4EE1"/>
    <w:rsid w:val="001E655E"/>
    <w:rsid w:val="001F3CB8"/>
    <w:rsid w:val="001F6B91"/>
    <w:rsid w:val="001F703C"/>
    <w:rsid w:val="00200B9E"/>
    <w:rsid w:val="00200BF5"/>
    <w:rsid w:val="002010D1"/>
    <w:rsid w:val="00201338"/>
    <w:rsid w:val="00201B9B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D5E"/>
    <w:rsid w:val="00234F58"/>
    <w:rsid w:val="0023507D"/>
    <w:rsid w:val="00236E94"/>
    <w:rsid w:val="0024077A"/>
    <w:rsid w:val="00241EC1"/>
    <w:rsid w:val="002431DA"/>
    <w:rsid w:val="0024691D"/>
    <w:rsid w:val="00247D27"/>
    <w:rsid w:val="00250A50"/>
    <w:rsid w:val="00251ED5"/>
    <w:rsid w:val="00252964"/>
    <w:rsid w:val="00253CF1"/>
    <w:rsid w:val="002549A8"/>
    <w:rsid w:val="00255EB6"/>
    <w:rsid w:val="00257429"/>
    <w:rsid w:val="00260FA4"/>
    <w:rsid w:val="00261183"/>
    <w:rsid w:val="0026129F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245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2E3D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68D9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5A33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1615"/>
    <w:rsid w:val="00474927"/>
    <w:rsid w:val="00475913"/>
    <w:rsid w:val="00480080"/>
    <w:rsid w:val="0048061E"/>
    <w:rsid w:val="004824A7"/>
    <w:rsid w:val="00483AF0"/>
    <w:rsid w:val="00484167"/>
    <w:rsid w:val="00491C84"/>
    <w:rsid w:val="00492211"/>
    <w:rsid w:val="00492325"/>
    <w:rsid w:val="00492A6D"/>
    <w:rsid w:val="00493EB7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D731E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4F42"/>
    <w:rsid w:val="005363BB"/>
    <w:rsid w:val="00541B98"/>
    <w:rsid w:val="00543374"/>
    <w:rsid w:val="00545548"/>
    <w:rsid w:val="00546923"/>
    <w:rsid w:val="00551CA6"/>
    <w:rsid w:val="0055426B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4528"/>
    <w:rsid w:val="005A6D13"/>
    <w:rsid w:val="005A73CA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966"/>
    <w:rsid w:val="005E2B83"/>
    <w:rsid w:val="005E4AEB"/>
    <w:rsid w:val="005E738F"/>
    <w:rsid w:val="005E788B"/>
    <w:rsid w:val="005F1519"/>
    <w:rsid w:val="005F43C1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1749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3B37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48C0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14E2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1CB0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6E07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1451"/>
    <w:rsid w:val="007F3861"/>
    <w:rsid w:val="007F4162"/>
    <w:rsid w:val="007F5441"/>
    <w:rsid w:val="007F7668"/>
    <w:rsid w:val="00800C63"/>
    <w:rsid w:val="00802243"/>
    <w:rsid w:val="008023D4"/>
    <w:rsid w:val="00804124"/>
    <w:rsid w:val="00804E32"/>
    <w:rsid w:val="00805402"/>
    <w:rsid w:val="0080765F"/>
    <w:rsid w:val="00812BE3"/>
    <w:rsid w:val="00814516"/>
    <w:rsid w:val="00815C9D"/>
    <w:rsid w:val="008170E2"/>
    <w:rsid w:val="00823E4C"/>
    <w:rsid w:val="00824F55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2DC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7721"/>
    <w:rsid w:val="008C7F9C"/>
    <w:rsid w:val="008D27A5"/>
    <w:rsid w:val="008D2AAB"/>
    <w:rsid w:val="008D309C"/>
    <w:rsid w:val="008D58F9"/>
    <w:rsid w:val="008D7427"/>
    <w:rsid w:val="008E3338"/>
    <w:rsid w:val="008E47BE"/>
    <w:rsid w:val="008F09DF"/>
    <w:rsid w:val="008F0F04"/>
    <w:rsid w:val="008F3053"/>
    <w:rsid w:val="008F3136"/>
    <w:rsid w:val="008F3D7F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17C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17E41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66E2"/>
    <w:rsid w:val="00B17981"/>
    <w:rsid w:val="00B233BB"/>
    <w:rsid w:val="00B25612"/>
    <w:rsid w:val="00B26437"/>
    <w:rsid w:val="00B2678E"/>
    <w:rsid w:val="00B26F3C"/>
    <w:rsid w:val="00B30647"/>
    <w:rsid w:val="00B31F0E"/>
    <w:rsid w:val="00B34F25"/>
    <w:rsid w:val="00B43672"/>
    <w:rsid w:val="00B473D8"/>
    <w:rsid w:val="00B5165A"/>
    <w:rsid w:val="00B524C1"/>
    <w:rsid w:val="00B52C8D"/>
    <w:rsid w:val="00B54B9C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3F08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4072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47A9"/>
    <w:rsid w:val="00CE6E59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2E4A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1042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58CC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C7B82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0F9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37FF"/>
    <w:rsid w:val="00E55DA0"/>
    <w:rsid w:val="00E56033"/>
    <w:rsid w:val="00E61159"/>
    <w:rsid w:val="00E625DA"/>
    <w:rsid w:val="00E634DC"/>
    <w:rsid w:val="00E667F3"/>
    <w:rsid w:val="00E668BB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09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03D4"/>
    <w:rsid w:val="00F01DFA"/>
    <w:rsid w:val="00F02096"/>
    <w:rsid w:val="00F02457"/>
    <w:rsid w:val="00F036C3"/>
    <w:rsid w:val="00F0417E"/>
    <w:rsid w:val="00F05397"/>
    <w:rsid w:val="00F0638C"/>
    <w:rsid w:val="00F11E04"/>
    <w:rsid w:val="00F127CF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869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5B8E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7FAC9C-32A2-4ABB-8F64-60810531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A45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4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452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4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4528"/>
    <w:rPr>
      <w:b/>
      <w:bCs/>
    </w:rPr>
  </w:style>
  <w:style w:type="paragraph" w:styleId="Revision">
    <w:name w:val="Revision"/>
    <w:hidden/>
    <w:uiPriority w:val="99"/>
    <w:semiHidden/>
    <w:rsid w:val="00F003D4"/>
    <w:rPr>
      <w:sz w:val="24"/>
      <w:szCs w:val="24"/>
    </w:rPr>
  </w:style>
  <w:style w:type="character" w:styleId="Hyperlink">
    <w:name w:val="Hyperlink"/>
    <w:basedOn w:val="DefaultParagraphFont"/>
    <w:unhideWhenUsed/>
    <w:rsid w:val="008C7F9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3125</Characters>
  <Application>Microsoft Office Word</Application>
  <DocSecurity>4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HB00232 (Committee Report (Substituted))</vt:lpstr>
    </vt:vector>
  </TitlesOfParts>
  <Company>State of Texas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20990</dc:subject>
  <dc:creator>State of Texas</dc:creator>
  <dc:description>HB 232 by Swanson-(H)Elections (Substitute Document Number: 88R 20104)</dc:description>
  <cp:lastModifiedBy>Stacey Nicchio</cp:lastModifiedBy>
  <cp:revision>2</cp:revision>
  <cp:lastPrinted>2003-11-26T17:21:00Z</cp:lastPrinted>
  <dcterms:created xsi:type="dcterms:W3CDTF">2023-04-11T22:08:00Z</dcterms:created>
  <dcterms:modified xsi:type="dcterms:W3CDTF">2023-04-11T22:08:00Z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23.89.178</vt:lpwstr>
  </property>
</Properties>
</file>