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55B5" w14:paraId="2F172F48" w14:textId="77777777" w:rsidTr="00345119">
        <w:tc>
          <w:tcPr>
            <w:tcW w:w="9576" w:type="dxa"/>
            <w:noWrap/>
          </w:tcPr>
          <w:p w14:paraId="1B91452A" w14:textId="77777777" w:rsidR="008423E4" w:rsidRPr="0022177D" w:rsidRDefault="00EE106D" w:rsidP="00B74DC1">
            <w:pPr>
              <w:pStyle w:val="Heading1"/>
            </w:pPr>
            <w:r w:rsidRPr="00631897">
              <w:t>BILL ANALYSIS</w:t>
            </w:r>
          </w:p>
        </w:tc>
      </w:tr>
    </w:tbl>
    <w:p w14:paraId="277D9A86" w14:textId="77777777" w:rsidR="008423E4" w:rsidRPr="0022177D" w:rsidRDefault="008423E4" w:rsidP="00B74DC1">
      <w:pPr>
        <w:jc w:val="center"/>
      </w:pPr>
    </w:p>
    <w:p w14:paraId="189DD775" w14:textId="77777777" w:rsidR="008423E4" w:rsidRPr="00B31F0E" w:rsidRDefault="008423E4" w:rsidP="00B74DC1"/>
    <w:p w14:paraId="7A5F4FA2" w14:textId="77777777" w:rsidR="008423E4" w:rsidRPr="00742794" w:rsidRDefault="008423E4" w:rsidP="00B74DC1">
      <w:pPr>
        <w:tabs>
          <w:tab w:val="right" w:pos="9360"/>
        </w:tabs>
      </w:pPr>
    </w:p>
    <w:tbl>
      <w:tblPr>
        <w:tblW w:w="0" w:type="auto"/>
        <w:tblLayout w:type="fixed"/>
        <w:tblLook w:val="01E0" w:firstRow="1" w:lastRow="1" w:firstColumn="1" w:lastColumn="1" w:noHBand="0" w:noVBand="0"/>
      </w:tblPr>
      <w:tblGrid>
        <w:gridCol w:w="9576"/>
      </w:tblGrid>
      <w:tr w:rsidR="001555B5" w14:paraId="63379DA9" w14:textId="77777777" w:rsidTr="00345119">
        <w:tc>
          <w:tcPr>
            <w:tcW w:w="9576" w:type="dxa"/>
          </w:tcPr>
          <w:p w14:paraId="357EF988" w14:textId="6BA6D924" w:rsidR="008423E4" w:rsidRPr="00861995" w:rsidRDefault="00EE106D" w:rsidP="00B74DC1">
            <w:pPr>
              <w:jc w:val="right"/>
            </w:pPr>
            <w:r>
              <w:t>C.S.H.B. 250</w:t>
            </w:r>
          </w:p>
        </w:tc>
      </w:tr>
      <w:tr w:rsidR="001555B5" w14:paraId="3F76DC74" w14:textId="77777777" w:rsidTr="00345119">
        <w:tc>
          <w:tcPr>
            <w:tcW w:w="9576" w:type="dxa"/>
          </w:tcPr>
          <w:p w14:paraId="67A852A1" w14:textId="1C39F889" w:rsidR="008423E4" w:rsidRPr="00861995" w:rsidRDefault="00EE106D" w:rsidP="00B74DC1">
            <w:pPr>
              <w:jc w:val="right"/>
            </w:pPr>
            <w:r>
              <w:t xml:space="preserve">By: </w:t>
            </w:r>
            <w:r w:rsidR="00F47B2F">
              <w:t>González, Mary</w:t>
            </w:r>
          </w:p>
        </w:tc>
      </w:tr>
      <w:tr w:rsidR="001555B5" w14:paraId="2C43E79F" w14:textId="77777777" w:rsidTr="00345119">
        <w:tc>
          <w:tcPr>
            <w:tcW w:w="9576" w:type="dxa"/>
          </w:tcPr>
          <w:p w14:paraId="4DF4328B" w14:textId="1FC86D63" w:rsidR="008423E4" w:rsidRPr="00861995" w:rsidRDefault="00EE106D" w:rsidP="00B74DC1">
            <w:pPr>
              <w:jc w:val="right"/>
            </w:pPr>
            <w:r>
              <w:t>Juvenile Justice &amp; Family Issues</w:t>
            </w:r>
          </w:p>
        </w:tc>
      </w:tr>
      <w:tr w:rsidR="001555B5" w14:paraId="24174818" w14:textId="77777777" w:rsidTr="00345119">
        <w:tc>
          <w:tcPr>
            <w:tcW w:w="9576" w:type="dxa"/>
          </w:tcPr>
          <w:p w14:paraId="44199288" w14:textId="41502746" w:rsidR="008423E4" w:rsidRDefault="00EE106D" w:rsidP="00B74DC1">
            <w:pPr>
              <w:jc w:val="right"/>
            </w:pPr>
            <w:r>
              <w:t>Committee Report (Substituted)</w:t>
            </w:r>
          </w:p>
        </w:tc>
      </w:tr>
    </w:tbl>
    <w:p w14:paraId="2C358EA5" w14:textId="77777777" w:rsidR="008423E4" w:rsidRDefault="008423E4" w:rsidP="00B74DC1">
      <w:pPr>
        <w:tabs>
          <w:tab w:val="right" w:pos="9360"/>
        </w:tabs>
      </w:pPr>
    </w:p>
    <w:p w14:paraId="1DAE2630" w14:textId="77777777" w:rsidR="008423E4" w:rsidRDefault="008423E4" w:rsidP="00B74DC1"/>
    <w:p w14:paraId="3CFBB589" w14:textId="77777777" w:rsidR="008423E4" w:rsidRDefault="008423E4" w:rsidP="00B74DC1"/>
    <w:tbl>
      <w:tblPr>
        <w:tblW w:w="0" w:type="auto"/>
        <w:tblCellMar>
          <w:left w:w="115" w:type="dxa"/>
          <w:right w:w="115" w:type="dxa"/>
        </w:tblCellMar>
        <w:tblLook w:val="01E0" w:firstRow="1" w:lastRow="1" w:firstColumn="1" w:lastColumn="1" w:noHBand="0" w:noVBand="0"/>
      </w:tblPr>
      <w:tblGrid>
        <w:gridCol w:w="9360"/>
      </w:tblGrid>
      <w:tr w:rsidR="001555B5" w14:paraId="14CB955E" w14:textId="77777777" w:rsidTr="003A6F20">
        <w:tc>
          <w:tcPr>
            <w:tcW w:w="9360" w:type="dxa"/>
          </w:tcPr>
          <w:p w14:paraId="1F702828" w14:textId="77777777" w:rsidR="008423E4" w:rsidRPr="00A8133F" w:rsidRDefault="00EE106D" w:rsidP="00B74DC1">
            <w:pPr>
              <w:rPr>
                <w:b/>
              </w:rPr>
            </w:pPr>
            <w:r w:rsidRPr="009C1E9A">
              <w:rPr>
                <w:b/>
                <w:u w:val="single"/>
              </w:rPr>
              <w:t>BACKGROUND AND PURPOSE</w:t>
            </w:r>
            <w:r>
              <w:rPr>
                <w:b/>
              </w:rPr>
              <w:t xml:space="preserve"> </w:t>
            </w:r>
          </w:p>
          <w:p w14:paraId="2CC142C6" w14:textId="77777777" w:rsidR="008423E4" w:rsidRDefault="008423E4" w:rsidP="00B74DC1"/>
          <w:p w14:paraId="0D2B8145" w14:textId="2A90047D" w:rsidR="008423E4" w:rsidRDefault="00EE106D" w:rsidP="00B74DC1">
            <w:pPr>
              <w:pStyle w:val="Header"/>
              <w:jc w:val="both"/>
            </w:pPr>
            <w:r w:rsidRPr="003C09AB">
              <w:t xml:space="preserve">The </w:t>
            </w:r>
            <w:r w:rsidR="006F0AA2">
              <w:t>state's c</w:t>
            </w:r>
            <w:r w:rsidRPr="003C09AB">
              <w:t xml:space="preserve">rime </w:t>
            </w:r>
            <w:r w:rsidR="006F0AA2">
              <w:t>v</w:t>
            </w:r>
            <w:r w:rsidRPr="003C09AB">
              <w:t>ictims</w:t>
            </w:r>
            <w:r w:rsidR="00E26F32">
              <w:t>'</w:t>
            </w:r>
            <w:r w:rsidRPr="003C09AB">
              <w:t xml:space="preserve"> </w:t>
            </w:r>
            <w:r w:rsidR="006F0AA2">
              <w:t>c</w:t>
            </w:r>
            <w:r w:rsidRPr="003C09AB">
              <w:t xml:space="preserve">ompensation (CVC) </w:t>
            </w:r>
            <w:r w:rsidR="006F0AA2">
              <w:t>p</w:t>
            </w:r>
            <w:r w:rsidRPr="003C09AB">
              <w:t xml:space="preserve">rogram helps violent crime victims and immediate </w:t>
            </w:r>
            <w:r w:rsidRPr="003C09AB">
              <w:t>families of injured or deceased victims with the financial costs of crime. CVC covers crime-related costs such as counseling, medical treatment, funerals, and loss of income not paid by other sources.</w:t>
            </w:r>
            <w:r>
              <w:t xml:space="preserve"> </w:t>
            </w:r>
            <w:r w:rsidR="006F0AA2">
              <w:t xml:space="preserve">Advocates for victims of crime have requested </w:t>
            </w:r>
            <w:r w:rsidR="00BB1802">
              <w:t xml:space="preserve">that </w:t>
            </w:r>
            <w:r w:rsidR="006F0AA2">
              <w:t xml:space="preserve">numerous issues with the current program be addressed. </w:t>
            </w:r>
            <w:r w:rsidRPr="003C09AB">
              <w:t>Under current law, the Office of the Attorney General (OAG) may pay for relocation expenses when a victim needs to move as a result of the crime, but only to victims of family violence, sexual assault that</w:t>
            </w:r>
            <w:r w:rsidRPr="003C09AB">
              <w:t xml:space="preserve"> occurred in the victim</w:t>
            </w:r>
            <w:r w:rsidR="00E26F32">
              <w:t>'</w:t>
            </w:r>
            <w:r w:rsidRPr="003C09AB">
              <w:t>s residence, stalking, human trafficking, or child victims of attempted murder in the child</w:t>
            </w:r>
            <w:r w:rsidR="000F6EC9">
              <w:t>'</w:t>
            </w:r>
            <w:r w:rsidRPr="003C09AB">
              <w:t>s residence. There are other serious crimes in which relocation of a victim may be necessary, including armed robbery and kidnapping. What</w:t>
            </w:r>
            <w:r w:rsidR="00E26F32">
              <w:t>'</w:t>
            </w:r>
            <w:r w:rsidRPr="003C09AB">
              <w:t>s</w:t>
            </w:r>
            <w:r w:rsidRPr="003C09AB">
              <w:t xml:space="preserve"> more, currently, the program allows some family members impacted by the crime to receive counseling or bereavement assistance, but many close family or household members are ineligible. A fiancé who lives with a victim killed in a homicide or a cousin who</w:t>
            </w:r>
            <w:r w:rsidRPr="003C09AB">
              <w:t xml:space="preserve"> grew up in the household of the victim as a sibling, for example, is ineligible </w:t>
            </w:r>
            <w:r w:rsidR="006F0AA2">
              <w:t>since</w:t>
            </w:r>
            <w:r w:rsidR="006F0AA2" w:rsidRPr="003C09AB">
              <w:t xml:space="preserve"> </w:t>
            </w:r>
            <w:r w:rsidRPr="003C09AB">
              <w:t>eligibility is limited to current household members with a blood relationship or family members related by only the second degree of consanguinity. Some victims may have</w:t>
            </w:r>
            <w:r w:rsidRPr="003C09AB">
              <w:t xml:space="preserve"> only loved ones who do not fall under those categories but still need bereavement or counseling assistance. Another issue is that </w:t>
            </w:r>
            <w:r w:rsidR="006F0AA2">
              <w:t xml:space="preserve">the </w:t>
            </w:r>
            <w:r w:rsidRPr="003C09AB">
              <w:t>OAG can allocate only $2,000 for moving expenses plus $1,800 to cover rent, but these amounts have not increased since th</w:t>
            </w:r>
            <w:r w:rsidRPr="003C09AB">
              <w:t>e statute was passed originally and are insufficient for most Texas cities. CVC benefits also can cover a victim</w:t>
            </w:r>
            <w:r w:rsidR="000F6EC9">
              <w:t>'</w:t>
            </w:r>
            <w:r w:rsidRPr="003C09AB">
              <w:t xml:space="preserve">s cost to travel to witness an execution, but only for </w:t>
            </w:r>
            <w:r w:rsidR="006F0AA2">
              <w:t xml:space="preserve">one </w:t>
            </w:r>
            <w:r w:rsidRPr="003C09AB">
              <w:t>night of lodging, which is insufficient when proceedings are delayed at the last min</w:t>
            </w:r>
            <w:r w:rsidRPr="003C09AB">
              <w:t>ute. Lastly, loss of earnings compensation due to bereavement leave taken due to a victim</w:t>
            </w:r>
            <w:r w:rsidR="00E26F32">
              <w:t>'</w:t>
            </w:r>
            <w:r w:rsidRPr="003C09AB">
              <w:t xml:space="preserve">s death is limited to the lesser of $1,000 or 10 days, which also is less than many </w:t>
            </w:r>
            <w:r w:rsidR="00BB1802" w:rsidRPr="003C09AB">
              <w:t>pe</w:t>
            </w:r>
            <w:r w:rsidR="00BB1802">
              <w:t>ople</w:t>
            </w:r>
            <w:r w:rsidR="00BB1802" w:rsidRPr="003C09AB">
              <w:t xml:space="preserve"> </w:t>
            </w:r>
            <w:r w:rsidRPr="003C09AB">
              <w:t>need to maintain financial stability following a violent death of a loved o</w:t>
            </w:r>
            <w:r w:rsidRPr="003C09AB">
              <w:t>ne.</w:t>
            </w:r>
            <w:r w:rsidR="006F0AA2">
              <w:t xml:space="preserve"> C.S.H.B.</w:t>
            </w:r>
            <w:r w:rsidR="000F6EC9">
              <w:t> </w:t>
            </w:r>
            <w:r w:rsidR="006F0AA2">
              <w:t xml:space="preserve">250 seeks to revise provisions governing </w:t>
            </w:r>
            <w:r w:rsidR="00BB1802">
              <w:t xml:space="preserve">the </w:t>
            </w:r>
            <w:r w:rsidR="006F0AA2">
              <w:t>CVC</w:t>
            </w:r>
            <w:r w:rsidR="00BB1802">
              <w:t xml:space="preserve"> program</w:t>
            </w:r>
            <w:r w:rsidR="006F0AA2">
              <w:t xml:space="preserve"> to address these issues and allow </w:t>
            </w:r>
            <w:r w:rsidR="00BB1802">
              <w:t>the program</w:t>
            </w:r>
            <w:r w:rsidR="006F0AA2">
              <w:t xml:space="preserve"> to better meet the needs of victims of crime and their families. </w:t>
            </w:r>
          </w:p>
          <w:p w14:paraId="590AF7A7" w14:textId="77777777" w:rsidR="008423E4" w:rsidRPr="00E26B13" w:rsidRDefault="008423E4" w:rsidP="00B74DC1">
            <w:pPr>
              <w:rPr>
                <w:b/>
              </w:rPr>
            </w:pPr>
          </w:p>
        </w:tc>
      </w:tr>
      <w:tr w:rsidR="001555B5" w14:paraId="27A8F608" w14:textId="77777777" w:rsidTr="003A6F20">
        <w:tc>
          <w:tcPr>
            <w:tcW w:w="9360" w:type="dxa"/>
          </w:tcPr>
          <w:p w14:paraId="612DE680" w14:textId="77777777" w:rsidR="0017725B" w:rsidRDefault="00EE106D" w:rsidP="00B74DC1">
            <w:pPr>
              <w:rPr>
                <w:b/>
                <w:u w:val="single"/>
              </w:rPr>
            </w:pPr>
            <w:r>
              <w:rPr>
                <w:b/>
                <w:u w:val="single"/>
              </w:rPr>
              <w:t>CRIMINAL JUSTICE IMPACT</w:t>
            </w:r>
          </w:p>
          <w:p w14:paraId="38F0B4E9" w14:textId="77777777" w:rsidR="0017725B" w:rsidRDefault="0017725B" w:rsidP="00B74DC1">
            <w:pPr>
              <w:rPr>
                <w:b/>
                <w:u w:val="single"/>
              </w:rPr>
            </w:pPr>
          </w:p>
          <w:p w14:paraId="6D9E5F62" w14:textId="6FBE25B0" w:rsidR="00AD0371" w:rsidRPr="00AD0371" w:rsidRDefault="00EE106D" w:rsidP="00B74DC1">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47DA9593" w14:textId="77777777" w:rsidR="0017725B" w:rsidRPr="0017725B" w:rsidRDefault="0017725B" w:rsidP="00B74DC1">
            <w:pPr>
              <w:rPr>
                <w:b/>
                <w:u w:val="single"/>
              </w:rPr>
            </w:pPr>
          </w:p>
        </w:tc>
      </w:tr>
      <w:tr w:rsidR="001555B5" w14:paraId="5D82D686" w14:textId="77777777" w:rsidTr="003A6F20">
        <w:tc>
          <w:tcPr>
            <w:tcW w:w="9360" w:type="dxa"/>
          </w:tcPr>
          <w:p w14:paraId="17F34B47" w14:textId="77777777" w:rsidR="008423E4" w:rsidRPr="00A8133F" w:rsidRDefault="00EE106D" w:rsidP="00B74DC1">
            <w:pPr>
              <w:rPr>
                <w:b/>
              </w:rPr>
            </w:pPr>
            <w:r w:rsidRPr="009C1E9A">
              <w:rPr>
                <w:b/>
                <w:u w:val="single"/>
              </w:rPr>
              <w:t>RULEMAKING AUTHORITY</w:t>
            </w:r>
            <w:r>
              <w:rPr>
                <w:b/>
              </w:rPr>
              <w:t xml:space="preserve"> </w:t>
            </w:r>
          </w:p>
          <w:p w14:paraId="6B9BA960" w14:textId="77777777" w:rsidR="008423E4" w:rsidRDefault="008423E4" w:rsidP="00B74DC1"/>
          <w:p w14:paraId="63373615" w14:textId="766EF4C9" w:rsidR="00AD0371" w:rsidRDefault="00EE106D" w:rsidP="00B74DC1">
            <w:pPr>
              <w:pStyle w:val="Header"/>
              <w:tabs>
                <w:tab w:val="clear" w:pos="4320"/>
                <w:tab w:val="clear" w:pos="8640"/>
              </w:tabs>
              <w:jc w:val="both"/>
            </w:pPr>
            <w:r>
              <w:t>It is the committee's opinion that rulemaking authority is expressly granted to the attorney general in SECTION 4 of this bill.</w:t>
            </w:r>
          </w:p>
          <w:p w14:paraId="7F8CF43D" w14:textId="77777777" w:rsidR="008423E4" w:rsidRPr="00E21FDC" w:rsidRDefault="008423E4" w:rsidP="00B74DC1">
            <w:pPr>
              <w:rPr>
                <w:b/>
              </w:rPr>
            </w:pPr>
          </w:p>
        </w:tc>
      </w:tr>
      <w:tr w:rsidR="001555B5" w14:paraId="16D5F834" w14:textId="77777777" w:rsidTr="003A6F20">
        <w:tc>
          <w:tcPr>
            <w:tcW w:w="9360" w:type="dxa"/>
          </w:tcPr>
          <w:p w14:paraId="7F6CB103" w14:textId="77777777" w:rsidR="008423E4" w:rsidRPr="00A8133F" w:rsidRDefault="00EE106D" w:rsidP="00B74DC1">
            <w:pPr>
              <w:rPr>
                <w:b/>
              </w:rPr>
            </w:pPr>
            <w:r w:rsidRPr="009C1E9A">
              <w:rPr>
                <w:b/>
                <w:u w:val="single"/>
              </w:rPr>
              <w:t>ANALYSIS</w:t>
            </w:r>
            <w:r>
              <w:rPr>
                <w:b/>
              </w:rPr>
              <w:t xml:space="preserve"> </w:t>
            </w:r>
          </w:p>
          <w:p w14:paraId="07CFB43C" w14:textId="77777777" w:rsidR="008423E4" w:rsidRDefault="008423E4" w:rsidP="00B74DC1"/>
          <w:p w14:paraId="5767AB8A" w14:textId="482CE30E" w:rsidR="0011541A" w:rsidRDefault="00EE106D" w:rsidP="00B74DC1">
            <w:pPr>
              <w:pStyle w:val="Header"/>
              <w:jc w:val="both"/>
            </w:pPr>
            <w:r>
              <w:t>C.S.</w:t>
            </w:r>
            <w:r w:rsidRPr="00A7269B">
              <w:t>H.B. 250 amends the Code of Criminal Procedure</w:t>
            </w:r>
            <w:r>
              <w:t xml:space="preserve"> </w:t>
            </w:r>
            <w:r w:rsidRPr="00A7269B">
              <w:t xml:space="preserve">to </w:t>
            </w:r>
            <w:r>
              <w:t xml:space="preserve">revise provisions governing the state's crime </w:t>
            </w:r>
            <w:r>
              <w:t>victims' compensation program as follows:</w:t>
            </w:r>
          </w:p>
          <w:p w14:paraId="3F2CC17F" w14:textId="09CCE02B" w:rsidR="0011541A" w:rsidRDefault="00EE106D" w:rsidP="00B74DC1">
            <w:pPr>
              <w:pStyle w:val="Header"/>
              <w:numPr>
                <w:ilvl w:val="0"/>
                <w:numId w:val="1"/>
              </w:numPr>
              <w:jc w:val="both"/>
            </w:pPr>
            <w:r>
              <w:t xml:space="preserve">with respect to general eligibility for </w:t>
            </w:r>
            <w:r w:rsidR="003E03C4">
              <w:t xml:space="preserve">compensation </w:t>
            </w:r>
            <w:r>
              <w:t>under the program:</w:t>
            </w:r>
          </w:p>
          <w:p w14:paraId="33080259" w14:textId="77777777" w:rsidR="0011541A" w:rsidRDefault="00EE106D" w:rsidP="00B74DC1">
            <w:pPr>
              <w:pStyle w:val="Header"/>
              <w:numPr>
                <w:ilvl w:val="1"/>
                <w:numId w:val="1"/>
              </w:numPr>
              <w:jc w:val="both"/>
            </w:pPr>
            <w:r>
              <w:t>removes language limiting the eligible family members to only those considered immediate family;</w:t>
            </w:r>
          </w:p>
          <w:p w14:paraId="554EE8AC" w14:textId="3D5DB73D" w:rsidR="0011541A" w:rsidRDefault="00EE106D" w:rsidP="00B74DC1">
            <w:pPr>
              <w:pStyle w:val="Header"/>
              <w:numPr>
                <w:ilvl w:val="1"/>
                <w:numId w:val="1"/>
              </w:numPr>
              <w:jc w:val="both"/>
            </w:pPr>
            <w:r>
              <w:t>removes language limiting the eligible househ</w:t>
            </w:r>
            <w:r>
              <w:t>old members to only those who are related to the victim by consanguinity or affinity;</w:t>
            </w:r>
            <w:r w:rsidR="00335A91">
              <w:t xml:space="preserve"> and</w:t>
            </w:r>
          </w:p>
          <w:p w14:paraId="4F40EE3E" w14:textId="51C51F60" w:rsidR="0011541A" w:rsidRDefault="00EE106D" w:rsidP="00B74DC1">
            <w:pPr>
              <w:pStyle w:val="Header"/>
              <w:numPr>
                <w:ilvl w:val="1"/>
                <w:numId w:val="1"/>
              </w:numPr>
              <w:jc w:val="both"/>
            </w:pPr>
            <w:r>
              <w:t>expands the acts that qualify as family violence when determining eligibility for payments to include any act considered family violence for purposes of Family Code p</w:t>
            </w:r>
            <w:r>
              <w:t xml:space="preserve">rovisions </w:t>
            </w:r>
            <w:r w:rsidR="00A53417">
              <w:t xml:space="preserve">regarding </w:t>
            </w:r>
            <w:r>
              <w:t>protective orders and family violence;</w:t>
            </w:r>
          </w:p>
          <w:p w14:paraId="09009F9C" w14:textId="5D17D23C" w:rsidR="0011541A" w:rsidRPr="003E03C4" w:rsidRDefault="00EE106D" w:rsidP="00B74DC1">
            <w:pPr>
              <w:pStyle w:val="Header"/>
              <w:numPr>
                <w:ilvl w:val="0"/>
                <w:numId w:val="1"/>
              </w:numPr>
              <w:jc w:val="both"/>
            </w:pPr>
            <w:r w:rsidRPr="003E03C4">
              <w:t xml:space="preserve">with respect to </w:t>
            </w:r>
            <w:r w:rsidR="00AE0870" w:rsidRPr="003E03C4">
              <w:t>compensation</w:t>
            </w:r>
            <w:r w:rsidRPr="003E03C4">
              <w:t xml:space="preserve"> for relocation and housing rental expenses for which a victim of sexual assault who is assaulted in the victim's place of residence</w:t>
            </w:r>
            <w:r w:rsidR="00715DCA" w:rsidRPr="003E03C4">
              <w:t>,</w:t>
            </w:r>
            <w:r w:rsidRPr="003E03C4">
              <w:t xml:space="preserve"> a child who is a victim of a murder attempt in the child's place of residence</w:t>
            </w:r>
            <w:r w:rsidR="003E03C4">
              <w:t>, or</w:t>
            </w:r>
            <w:r w:rsidRPr="003E03C4">
              <w:t xml:space="preserve"> </w:t>
            </w:r>
            <w:r w:rsidR="003E03C4" w:rsidRPr="003E03C4">
              <w:t>a</w:t>
            </w:r>
            <w:r w:rsidR="003E03C4" w:rsidRPr="001C5899">
              <w:t xml:space="preserve"> victim of stalking, family violence, or trafficking of persons </w:t>
            </w:r>
            <w:r w:rsidRPr="003E03C4">
              <w:t>is eligible:</w:t>
            </w:r>
          </w:p>
          <w:p w14:paraId="77F7EA67" w14:textId="531E4B11" w:rsidR="0011541A" w:rsidRPr="003E03C4" w:rsidRDefault="00EE106D" w:rsidP="00B74DC1">
            <w:pPr>
              <w:pStyle w:val="Header"/>
              <w:numPr>
                <w:ilvl w:val="1"/>
                <w:numId w:val="1"/>
              </w:numPr>
              <w:jc w:val="both"/>
            </w:pPr>
            <w:r w:rsidRPr="003E03C4">
              <w:t xml:space="preserve">removes the $2,000 cap on the amount </w:t>
            </w:r>
            <w:r w:rsidR="00AE0870" w:rsidRPr="003E03C4">
              <w:t>that may be</w:t>
            </w:r>
            <w:r w:rsidR="00D3662C" w:rsidRPr="003E03C4">
              <w:t xml:space="preserve"> </w:t>
            </w:r>
            <w:r w:rsidRPr="003E03C4">
              <w:t>pa</w:t>
            </w:r>
            <w:r w:rsidR="00AE0870" w:rsidRPr="003E03C4">
              <w:t>id out</w:t>
            </w:r>
            <w:r w:rsidRPr="003E03C4">
              <w:t xml:space="preserve"> for relocation expenses and the $1,</w:t>
            </w:r>
            <w:r w:rsidR="0013351C">
              <w:t>8</w:t>
            </w:r>
            <w:r w:rsidRPr="003E03C4">
              <w:t>0</w:t>
            </w:r>
            <w:r w:rsidRPr="003E03C4">
              <w:t xml:space="preserve">0 cap on the amount </w:t>
            </w:r>
            <w:r w:rsidR="00AE0870" w:rsidRPr="003E03C4">
              <w:t>that may be</w:t>
            </w:r>
            <w:r w:rsidRPr="003E03C4">
              <w:t xml:space="preserve"> pa</w:t>
            </w:r>
            <w:r w:rsidR="00AE0870" w:rsidRPr="003E03C4">
              <w:t>id out</w:t>
            </w:r>
            <w:r w:rsidRPr="003E03C4">
              <w:t xml:space="preserve"> for housing rental expenses </w:t>
            </w:r>
            <w:r w:rsidRPr="00B921E8">
              <w:t xml:space="preserve">and authorizes the attorney general instead to establish by rule a limitation on the amount of </w:t>
            </w:r>
            <w:r w:rsidR="00222F01">
              <w:t>the award</w:t>
            </w:r>
            <w:r w:rsidR="00222F01" w:rsidRPr="00B921E8">
              <w:t xml:space="preserve"> </w:t>
            </w:r>
            <w:r w:rsidRPr="00B921E8">
              <w:t>the victim may receive;</w:t>
            </w:r>
          </w:p>
          <w:p w14:paraId="7CE85D3D" w14:textId="02A848E4" w:rsidR="0011541A" w:rsidRPr="003E03C4" w:rsidRDefault="00EE106D" w:rsidP="00B74DC1">
            <w:pPr>
              <w:pStyle w:val="Header"/>
              <w:numPr>
                <w:ilvl w:val="1"/>
                <w:numId w:val="1"/>
              </w:numPr>
              <w:jc w:val="both"/>
            </w:pPr>
            <w:r w:rsidRPr="003E03C4">
              <w:t>includes expenses for temporary or emergency lodging among</w:t>
            </w:r>
            <w:r w:rsidRPr="003E03C4">
              <w:t xml:space="preserve"> the expenses that may be covered by </w:t>
            </w:r>
            <w:r w:rsidR="003E03C4">
              <w:t>compensation</w:t>
            </w:r>
            <w:r w:rsidRPr="003E03C4">
              <w:t xml:space="preserve"> for relocation expenses;</w:t>
            </w:r>
          </w:p>
          <w:p w14:paraId="589C641D" w14:textId="44873069" w:rsidR="0011541A" w:rsidRPr="00B921E8" w:rsidRDefault="00EE106D" w:rsidP="00B74DC1">
            <w:pPr>
              <w:pStyle w:val="Header"/>
              <w:numPr>
                <w:ilvl w:val="1"/>
                <w:numId w:val="1"/>
              </w:numPr>
              <w:jc w:val="both"/>
            </w:pPr>
            <w:r w:rsidRPr="00B921E8">
              <w:t xml:space="preserve">extends the authorization to receive </w:t>
            </w:r>
            <w:r w:rsidR="003E03C4">
              <w:t>compensation</w:t>
            </w:r>
            <w:r w:rsidRPr="00B921E8">
              <w:t xml:space="preserve"> to other victims not already eligible to receive it and to a dependent of any victim or a family member or household member of any </w:t>
            </w:r>
            <w:r w:rsidRPr="00B921E8">
              <w:t xml:space="preserve">victim </w:t>
            </w:r>
            <w:r w:rsidRPr="003E03C4">
              <w:t xml:space="preserve">and authorizes the attorney general to establish by rule a limitation on the amount of the award a victim or claimant may receive; </w:t>
            </w:r>
          </w:p>
          <w:p w14:paraId="451EEECC" w14:textId="4E1F190B" w:rsidR="007A629D" w:rsidRPr="0011541A" w:rsidRDefault="00EE106D" w:rsidP="00B74DC1">
            <w:pPr>
              <w:pStyle w:val="Header"/>
              <w:numPr>
                <w:ilvl w:val="1"/>
                <w:numId w:val="1"/>
              </w:numPr>
              <w:jc w:val="both"/>
            </w:pPr>
            <w:r w:rsidRPr="00B921E8">
              <w:t xml:space="preserve">limits the </w:t>
            </w:r>
            <w:r w:rsidR="00601AD9">
              <w:t>households</w:t>
            </w:r>
            <w:r w:rsidRPr="00B921E8">
              <w:t xml:space="preserve"> to whom the attorney general may award compensation for relocation or housing rental expenses</w:t>
            </w:r>
            <w:r w:rsidRPr="003E03C4">
              <w:t xml:space="preserve"> </w:t>
            </w:r>
            <w:r w:rsidR="00601AD9">
              <w:t xml:space="preserve">for </w:t>
            </w:r>
            <w:r w:rsidRPr="00B921E8">
              <w:t>each application based on criminally injurious conduct giving rise to the need for such expenses</w:t>
            </w:r>
            <w:r w:rsidR="00601AD9">
              <w:t xml:space="preserve"> </w:t>
            </w:r>
            <w:r w:rsidR="00601AD9" w:rsidRPr="003E03C4">
              <w:t>to</w:t>
            </w:r>
            <w:r w:rsidR="00B806D7">
              <w:t xml:space="preserve"> the</w:t>
            </w:r>
            <w:r w:rsidR="00601AD9" w:rsidRPr="001A5B43">
              <w:t xml:space="preserve"> </w:t>
            </w:r>
            <w:r w:rsidR="00601AD9">
              <w:t xml:space="preserve">households of no more than </w:t>
            </w:r>
            <w:r w:rsidR="00601AD9" w:rsidRPr="001A5B43">
              <w:t xml:space="preserve">one victim and one claimant or, if the victim is deceased, two claimants, </w:t>
            </w:r>
            <w:r w:rsidRPr="00B921E8">
              <w:t>unless the attorney general determines that ther</w:t>
            </w:r>
            <w:r w:rsidRPr="00B921E8">
              <w:t>e is an extraordinary health or safety need for compensation to be made to more than two households</w:t>
            </w:r>
            <w:r w:rsidR="00BA3BDC" w:rsidRPr="00B921E8">
              <w:t>; and</w:t>
            </w:r>
          </w:p>
          <w:p w14:paraId="02B99151" w14:textId="4C32A829" w:rsidR="0011541A" w:rsidRPr="003E03C4" w:rsidRDefault="00EE106D" w:rsidP="00B74DC1">
            <w:pPr>
              <w:pStyle w:val="Header"/>
              <w:numPr>
                <w:ilvl w:val="1"/>
                <w:numId w:val="1"/>
              </w:numPr>
              <w:jc w:val="both"/>
            </w:pPr>
            <w:r w:rsidRPr="003E03C4">
              <w:t>sets the minimum amount that may be awarded for relocation expenses at $2,000 and the minimum amount that may be awarded for housing rental expenses at</w:t>
            </w:r>
            <w:r w:rsidRPr="003E03C4">
              <w:t xml:space="preserve"> $1,</w:t>
            </w:r>
            <w:r w:rsidR="00222F01">
              <w:t>8</w:t>
            </w:r>
            <w:r w:rsidRPr="003E03C4">
              <w:t>00</w:t>
            </w:r>
            <w:r w:rsidRPr="00B921E8">
              <w:t xml:space="preserve">; </w:t>
            </w:r>
          </w:p>
          <w:p w14:paraId="24088FAB" w14:textId="77777777" w:rsidR="0011541A" w:rsidRPr="003E03C4" w:rsidRDefault="00EE106D" w:rsidP="00B74DC1">
            <w:pPr>
              <w:pStyle w:val="Header"/>
              <w:numPr>
                <w:ilvl w:val="0"/>
                <w:numId w:val="2"/>
              </w:numPr>
              <w:tabs>
                <w:tab w:val="clear" w:pos="4320"/>
                <w:tab w:val="clear" w:pos="8640"/>
              </w:tabs>
              <w:jc w:val="both"/>
            </w:pPr>
            <w:r w:rsidRPr="00B921E8">
              <w:t xml:space="preserve">with respect to lost wages paid to a family member or household member of a deceased victim as a result of bereavement leave taken: </w:t>
            </w:r>
          </w:p>
          <w:p w14:paraId="777C5249" w14:textId="77777777" w:rsidR="0011541A" w:rsidRPr="003E03C4" w:rsidRDefault="00EE106D" w:rsidP="00B74DC1">
            <w:pPr>
              <w:pStyle w:val="Header"/>
              <w:numPr>
                <w:ilvl w:val="1"/>
                <w:numId w:val="2"/>
              </w:numPr>
              <w:tabs>
                <w:tab w:val="clear" w:pos="4320"/>
                <w:tab w:val="clear" w:pos="8640"/>
              </w:tabs>
              <w:jc w:val="both"/>
            </w:pPr>
            <w:r w:rsidRPr="00B921E8">
              <w:t>removes the $1,000 cap on the amount that may be paid and authorizes the attorney general instead to establish by</w:t>
            </w:r>
            <w:r w:rsidRPr="00B921E8">
              <w:t xml:space="preserve"> rule a limitation on the amount of an award for lost wages; and </w:t>
            </w:r>
          </w:p>
          <w:p w14:paraId="776DB014" w14:textId="56D0012A" w:rsidR="0011541A" w:rsidRPr="003E03C4" w:rsidRDefault="00EE106D" w:rsidP="00B74DC1">
            <w:pPr>
              <w:pStyle w:val="Header"/>
              <w:numPr>
                <w:ilvl w:val="1"/>
                <w:numId w:val="2"/>
              </w:numPr>
              <w:tabs>
                <w:tab w:val="clear" w:pos="4320"/>
                <w:tab w:val="clear" w:pos="8640"/>
              </w:tabs>
              <w:jc w:val="both"/>
            </w:pPr>
            <w:r w:rsidRPr="00B921E8">
              <w:t xml:space="preserve">sets the minimum amount of the award at the lesser of $1,000 or an amount equal to 10 </w:t>
            </w:r>
            <w:r w:rsidR="00AE0870" w:rsidRPr="00B921E8">
              <w:t xml:space="preserve">work </w:t>
            </w:r>
            <w:r w:rsidRPr="00B921E8">
              <w:t>days of lost wages; and</w:t>
            </w:r>
          </w:p>
          <w:p w14:paraId="4608EF51" w14:textId="77777777" w:rsidR="0011541A" w:rsidRPr="003E03C4" w:rsidRDefault="00EE106D" w:rsidP="00B74DC1">
            <w:pPr>
              <w:pStyle w:val="Header"/>
              <w:numPr>
                <w:ilvl w:val="0"/>
                <w:numId w:val="2"/>
              </w:numPr>
              <w:tabs>
                <w:tab w:val="clear" w:pos="4320"/>
                <w:tab w:val="clear" w:pos="8640"/>
              </w:tabs>
              <w:jc w:val="both"/>
            </w:pPr>
            <w:r w:rsidRPr="003E03C4">
              <w:t>with respect to the pecuniary losses</w:t>
            </w:r>
            <w:r w:rsidRPr="003E03C4">
              <w:t xml:space="preserve"> incurred as a result of personal injury or death that may be covered under the program:</w:t>
            </w:r>
          </w:p>
          <w:p w14:paraId="5FD1E099" w14:textId="77777777" w:rsidR="0011541A" w:rsidRPr="003E03C4" w:rsidRDefault="00EE106D" w:rsidP="00B74DC1">
            <w:pPr>
              <w:pStyle w:val="Header"/>
              <w:numPr>
                <w:ilvl w:val="1"/>
                <w:numId w:val="2"/>
              </w:numPr>
              <w:tabs>
                <w:tab w:val="clear" w:pos="4320"/>
                <w:tab w:val="clear" w:pos="8640"/>
              </w:tabs>
              <w:jc w:val="both"/>
            </w:pPr>
            <w:r w:rsidRPr="003E03C4">
              <w:t xml:space="preserve">removes language limiting to one the number of night's lodging that may be considered a reasonable and necessary cost of traveling to and from a place of execution to </w:t>
            </w:r>
            <w:r w:rsidRPr="003E03C4">
              <w:t>witness the execution; and</w:t>
            </w:r>
          </w:p>
          <w:p w14:paraId="11A2362F" w14:textId="77777777" w:rsidR="0011541A" w:rsidRPr="0011541A" w:rsidRDefault="00EE106D" w:rsidP="00B74DC1">
            <w:pPr>
              <w:pStyle w:val="Header"/>
              <w:numPr>
                <w:ilvl w:val="1"/>
                <w:numId w:val="2"/>
              </w:numPr>
              <w:tabs>
                <w:tab w:val="clear" w:pos="4320"/>
                <w:tab w:val="clear" w:pos="8640"/>
              </w:tabs>
              <w:jc w:val="both"/>
            </w:pPr>
            <w:r w:rsidRPr="003E03C4">
              <w:t>removes language limiting the number of days of bereavement leave that may be covered for a family member or household member of a deceased victim to 10 work days.</w:t>
            </w:r>
          </w:p>
          <w:p w14:paraId="1705726F" w14:textId="77777777" w:rsidR="0011541A" w:rsidRDefault="0011541A" w:rsidP="00B74DC1">
            <w:pPr>
              <w:pStyle w:val="Header"/>
              <w:tabs>
                <w:tab w:val="clear" w:pos="4320"/>
                <w:tab w:val="clear" w:pos="8640"/>
              </w:tabs>
              <w:jc w:val="both"/>
            </w:pPr>
          </w:p>
          <w:p w14:paraId="361FB247" w14:textId="77777777" w:rsidR="008423E4" w:rsidRDefault="00EE106D" w:rsidP="00B74DC1">
            <w:pPr>
              <w:pStyle w:val="Header"/>
              <w:tabs>
                <w:tab w:val="clear" w:pos="4320"/>
                <w:tab w:val="clear" w:pos="8640"/>
              </w:tabs>
              <w:jc w:val="both"/>
            </w:pPr>
            <w:r>
              <w:t>C.S.</w:t>
            </w:r>
            <w:r w:rsidRPr="00A7269B">
              <w:t xml:space="preserve">H.B. </w:t>
            </w:r>
            <w:r w:rsidR="0011541A">
              <w:t xml:space="preserve">250 applies only to </w:t>
            </w:r>
            <w:r w:rsidR="0011541A" w:rsidRPr="00995107">
              <w:t xml:space="preserve">compensation for criminally injurious conduct occurring on or after the </w:t>
            </w:r>
            <w:r w:rsidR="0011541A">
              <w:t xml:space="preserve">bill's </w:t>
            </w:r>
            <w:r w:rsidR="0011541A" w:rsidRPr="00995107">
              <w:t>effective date</w:t>
            </w:r>
            <w:r w:rsidR="0011541A">
              <w:t>.</w:t>
            </w:r>
            <w:r w:rsidR="00B806D7">
              <w:t xml:space="preserve"> The bill provides for the continuation of the law in effect before the bill's effective date for purposes of such conduct, or any element of the offense underlying such conduct, that occurred before that date.</w:t>
            </w:r>
          </w:p>
          <w:p w14:paraId="6D9C0E1A" w14:textId="1F024BB9" w:rsidR="00793132" w:rsidRPr="00835628" w:rsidRDefault="00793132" w:rsidP="00B74DC1">
            <w:pPr>
              <w:pStyle w:val="Header"/>
              <w:tabs>
                <w:tab w:val="clear" w:pos="4320"/>
                <w:tab w:val="clear" w:pos="8640"/>
              </w:tabs>
              <w:jc w:val="both"/>
              <w:rPr>
                <w:b/>
              </w:rPr>
            </w:pPr>
          </w:p>
        </w:tc>
      </w:tr>
      <w:tr w:rsidR="001555B5" w14:paraId="5B5B874D" w14:textId="77777777" w:rsidTr="003A6F20">
        <w:tc>
          <w:tcPr>
            <w:tcW w:w="9360" w:type="dxa"/>
          </w:tcPr>
          <w:p w14:paraId="299FA701" w14:textId="77777777" w:rsidR="008423E4" w:rsidRPr="00A8133F" w:rsidRDefault="00EE106D" w:rsidP="00B74DC1">
            <w:pPr>
              <w:rPr>
                <w:b/>
              </w:rPr>
            </w:pPr>
            <w:r w:rsidRPr="009C1E9A">
              <w:rPr>
                <w:b/>
                <w:u w:val="single"/>
              </w:rPr>
              <w:t>EFFECTIVE DATE</w:t>
            </w:r>
            <w:r>
              <w:rPr>
                <w:b/>
              </w:rPr>
              <w:t xml:space="preserve"> </w:t>
            </w:r>
          </w:p>
          <w:p w14:paraId="6CD6891C" w14:textId="77777777" w:rsidR="008423E4" w:rsidRDefault="008423E4" w:rsidP="00B74DC1"/>
          <w:p w14:paraId="7D56D667" w14:textId="0CFC3881" w:rsidR="008423E4" w:rsidRPr="003624F2" w:rsidRDefault="00EE106D" w:rsidP="00B74DC1">
            <w:pPr>
              <w:pStyle w:val="Header"/>
              <w:tabs>
                <w:tab w:val="clear" w:pos="4320"/>
                <w:tab w:val="clear" w:pos="8640"/>
              </w:tabs>
              <w:jc w:val="both"/>
            </w:pPr>
            <w:r>
              <w:t>September 1, 2023.</w:t>
            </w:r>
          </w:p>
          <w:p w14:paraId="076C2887" w14:textId="77777777" w:rsidR="008423E4" w:rsidRPr="00233FDB" w:rsidRDefault="008423E4" w:rsidP="00B74DC1">
            <w:pPr>
              <w:rPr>
                <w:b/>
              </w:rPr>
            </w:pPr>
          </w:p>
        </w:tc>
      </w:tr>
      <w:tr w:rsidR="001555B5" w14:paraId="0848210D" w14:textId="77777777" w:rsidTr="003A6F20">
        <w:tc>
          <w:tcPr>
            <w:tcW w:w="9360" w:type="dxa"/>
          </w:tcPr>
          <w:p w14:paraId="1FFC1DA1" w14:textId="2C21D3AD" w:rsidR="003A6F20" w:rsidRDefault="00EE106D" w:rsidP="00B74DC1">
            <w:pPr>
              <w:jc w:val="both"/>
              <w:rPr>
                <w:b/>
                <w:u w:val="single"/>
              </w:rPr>
            </w:pPr>
            <w:r>
              <w:rPr>
                <w:b/>
                <w:u w:val="single"/>
              </w:rPr>
              <w:t>COMPARISON OF INTRODUCED AND SUBSTITUTE</w:t>
            </w:r>
          </w:p>
          <w:p w14:paraId="28C25A22" w14:textId="77777777" w:rsidR="00793132" w:rsidRPr="00BA3BDC" w:rsidRDefault="00793132" w:rsidP="00B74DC1">
            <w:pPr>
              <w:jc w:val="both"/>
              <w:rPr>
                <w:b/>
                <w:u w:val="single"/>
              </w:rPr>
            </w:pPr>
          </w:p>
          <w:p w14:paraId="39E804C9" w14:textId="704D217B" w:rsidR="00584033" w:rsidRPr="00601AD9" w:rsidRDefault="00EE106D" w:rsidP="00B74DC1">
            <w:pPr>
              <w:jc w:val="both"/>
            </w:pPr>
            <w:r>
              <w:t xml:space="preserve">While C.S.H.B. 250 </w:t>
            </w:r>
            <w:r w:rsidRPr="00601AD9">
              <w:t xml:space="preserve">may differ from the introduced in minor or nonsubstantive ways, the following summarizes the substantial differences between the </w:t>
            </w:r>
            <w:r w:rsidRPr="00601AD9">
              <w:t>introduced and committee substitute versions of the bill.</w:t>
            </w:r>
          </w:p>
          <w:p w14:paraId="468762C2" w14:textId="52E49167" w:rsidR="001174B4" w:rsidRPr="00601AD9" w:rsidRDefault="001174B4" w:rsidP="00B74DC1">
            <w:pPr>
              <w:jc w:val="both"/>
            </w:pPr>
          </w:p>
          <w:p w14:paraId="24AEB9D0" w14:textId="3131D173" w:rsidR="003A6F20" w:rsidRDefault="00EE106D" w:rsidP="00B74DC1">
            <w:pPr>
              <w:jc w:val="both"/>
            </w:pPr>
            <w:r>
              <w:t>While both t</w:t>
            </w:r>
            <w:r w:rsidR="003760A8" w:rsidRPr="00601AD9">
              <w:t xml:space="preserve">he </w:t>
            </w:r>
            <w:r w:rsidR="00954BBB">
              <w:t xml:space="preserve">introduced and the </w:t>
            </w:r>
            <w:r w:rsidR="003760A8" w:rsidRPr="00601AD9">
              <w:t xml:space="preserve">substitute </w:t>
            </w:r>
            <w:r w:rsidR="00954BBB">
              <w:t xml:space="preserve">establish limits on the </w:t>
            </w:r>
            <w:r w:rsidR="0050687D">
              <w:t>compensation</w:t>
            </w:r>
            <w:r>
              <w:t xml:space="preserve"> that may be</w:t>
            </w:r>
            <w:r w:rsidR="00954BBB">
              <w:t xml:space="preserve"> </w:t>
            </w:r>
            <w:r w:rsidR="00C929CB">
              <w:t>awarded</w:t>
            </w:r>
            <w:r w:rsidR="0050687D">
              <w:t xml:space="preserve"> </w:t>
            </w:r>
            <w:r w:rsidR="00954BBB">
              <w:t>for relocation and housing rental expenses</w:t>
            </w:r>
            <w:r w:rsidR="0050687D">
              <w:t xml:space="preserve"> unless the attorney general determines it necessary to award more</w:t>
            </w:r>
            <w:r w:rsidR="00954BBB">
              <w:t xml:space="preserve">, the introduced limited the number of payments that may be awarded </w:t>
            </w:r>
            <w:r w:rsidR="00366944">
              <w:t xml:space="preserve">for those expenses </w:t>
            </w:r>
            <w:r w:rsidR="00C929CB">
              <w:t xml:space="preserve">with respect to the same criminally injurious conduct </w:t>
            </w:r>
            <w:r w:rsidR="00366944">
              <w:t>to two</w:t>
            </w:r>
            <w:r w:rsidR="0050687D">
              <w:t xml:space="preserve"> payments</w:t>
            </w:r>
            <w:r w:rsidR="00954BBB">
              <w:t xml:space="preserve">, </w:t>
            </w:r>
            <w:r>
              <w:t xml:space="preserve">but </w:t>
            </w:r>
            <w:r w:rsidR="00954BBB">
              <w:t xml:space="preserve">the substitute limits instead the </w:t>
            </w:r>
            <w:r w:rsidR="00366944">
              <w:t>numb</w:t>
            </w:r>
            <w:r w:rsidR="00954BBB">
              <w:t>e</w:t>
            </w:r>
            <w:r w:rsidR="00366944">
              <w:t>r</w:t>
            </w:r>
            <w:r w:rsidR="00954BBB">
              <w:t xml:space="preserve"> of household</w:t>
            </w:r>
            <w:r w:rsidR="00366944">
              <w:t>s</w:t>
            </w:r>
            <w:r w:rsidR="00954BBB">
              <w:t xml:space="preserve"> </w:t>
            </w:r>
            <w:r w:rsidR="0050687D">
              <w:t xml:space="preserve">that may </w:t>
            </w:r>
            <w:r w:rsidR="00C929CB">
              <w:t>be awarded c</w:t>
            </w:r>
            <w:r w:rsidR="0050687D">
              <w:t xml:space="preserve">ompensation for those expenses </w:t>
            </w:r>
            <w:r w:rsidR="00C929CB">
              <w:t xml:space="preserve">for each application based on the criminally injurious conduct </w:t>
            </w:r>
            <w:r w:rsidR="0050687D">
              <w:t>to not more than two</w:t>
            </w:r>
            <w:r w:rsidR="00C929CB">
              <w:t xml:space="preserve"> households</w:t>
            </w:r>
            <w:r w:rsidR="00954BBB">
              <w:t>.</w:t>
            </w:r>
          </w:p>
          <w:p w14:paraId="05A39BF5" w14:textId="77777777" w:rsidR="00954BBB" w:rsidRDefault="00954BBB" w:rsidP="00B74DC1">
            <w:pPr>
              <w:jc w:val="both"/>
              <w:rPr>
                <w:b/>
                <w:u w:val="single"/>
              </w:rPr>
            </w:pPr>
          </w:p>
          <w:p w14:paraId="57B650D7" w14:textId="5BAD0231" w:rsidR="00954BBB" w:rsidRPr="00B921E8" w:rsidRDefault="00EE106D" w:rsidP="00B74DC1">
            <w:pPr>
              <w:jc w:val="both"/>
              <w:rPr>
                <w:bCs/>
              </w:rPr>
            </w:pPr>
            <w:r>
              <w:rPr>
                <w:bCs/>
              </w:rPr>
              <w:t xml:space="preserve">The introduced </w:t>
            </w:r>
            <w:r w:rsidRPr="001A5B43">
              <w:t xml:space="preserve">set the minimum amount of the award </w:t>
            </w:r>
            <w:r>
              <w:t>for lost wages</w:t>
            </w:r>
            <w:r w:rsidR="00C929CB">
              <w:t xml:space="preserve"> as a result of bereavement</w:t>
            </w:r>
            <w:r>
              <w:t xml:space="preserve"> </w:t>
            </w:r>
            <w:r w:rsidR="00A7196D">
              <w:t xml:space="preserve">leave </w:t>
            </w:r>
            <w:r w:rsidRPr="001A5B43">
              <w:t>at the lesser of $1,000 or an amount equal to 10 days of lost wages</w:t>
            </w:r>
            <w:r w:rsidR="00A7196D">
              <w:t>, and</w:t>
            </w:r>
            <w:r>
              <w:rPr>
                <w:bCs/>
              </w:rPr>
              <w:t xml:space="preserve"> </w:t>
            </w:r>
            <w:r w:rsidR="00A7196D">
              <w:rPr>
                <w:bCs/>
              </w:rPr>
              <w:t>t</w:t>
            </w:r>
            <w:r>
              <w:rPr>
                <w:bCs/>
              </w:rPr>
              <w:t>he substitute revises this provision to specify that the 10 days of lost wages are 10 work days</w:t>
            </w:r>
            <w:r w:rsidR="00A7196D">
              <w:rPr>
                <w:bCs/>
              </w:rPr>
              <w:t xml:space="preserve"> of lost wages</w:t>
            </w:r>
            <w:r>
              <w:rPr>
                <w:bCs/>
              </w:rPr>
              <w:t>.</w:t>
            </w:r>
          </w:p>
        </w:tc>
      </w:tr>
    </w:tbl>
    <w:p w14:paraId="61628104" w14:textId="77777777" w:rsidR="008423E4" w:rsidRPr="00BE0E75" w:rsidRDefault="008423E4" w:rsidP="00B74DC1">
      <w:pPr>
        <w:jc w:val="both"/>
        <w:rPr>
          <w:rFonts w:ascii="Arial" w:hAnsi="Arial"/>
          <w:sz w:val="16"/>
          <w:szCs w:val="16"/>
        </w:rPr>
      </w:pPr>
    </w:p>
    <w:p w14:paraId="1AFC73D0" w14:textId="77777777" w:rsidR="004108C3" w:rsidRPr="008423E4" w:rsidRDefault="004108C3" w:rsidP="00B74DC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69B6" w14:textId="77777777" w:rsidR="00000000" w:rsidRDefault="00EE106D">
      <w:r>
        <w:separator/>
      </w:r>
    </w:p>
  </w:endnote>
  <w:endnote w:type="continuationSeparator" w:id="0">
    <w:p w14:paraId="0991EDD4" w14:textId="77777777" w:rsidR="00000000" w:rsidRDefault="00EE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551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55B5" w14:paraId="08B5A6B4" w14:textId="77777777" w:rsidTr="009C1E9A">
      <w:trPr>
        <w:cantSplit/>
      </w:trPr>
      <w:tc>
        <w:tcPr>
          <w:tcW w:w="0" w:type="pct"/>
        </w:tcPr>
        <w:p w14:paraId="4268E866" w14:textId="77777777" w:rsidR="00137D90" w:rsidRDefault="00137D90" w:rsidP="009C1E9A">
          <w:pPr>
            <w:pStyle w:val="Footer"/>
            <w:tabs>
              <w:tab w:val="clear" w:pos="8640"/>
              <w:tab w:val="right" w:pos="9360"/>
            </w:tabs>
          </w:pPr>
        </w:p>
      </w:tc>
      <w:tc>
        <w:tcPr>
          <w:tcW w:w="2395" w:type="pct"/>
        </w:tcPr>
        <w:p w14:paraId="4DA87096" w14:textId="77777777" w:rsidR="00137D90" w:rsidRDefault="00137D90" w:rsidP="009C1E9A">
          <w:pPr>
            <w:pStyle w:val="Footer"/>
            <w:tabs>
              <w:tab w:val="clear" w:pos="8640"/>
              <w:tab w:val="right" w:pos="9360"/>
            </w:tabs>
          </w:pPr>
        </w:p>
        <w:p w14:paraId="51F41B09" w14:textId="77777777" w:rsidR="001A4310" w:rsidRDefault="001A4310" w:rsidP="009C1E9A">
          <w:pPr>
            <w:pStyle w:val="Footer"/>
            <w:tabs>
              <w:tab w:val="clear" w:pos="8640"/>
              <w:tab w:val="right" w:pos="9360"/>
            </w:tabs>
          </w:pPr>
        </w:p>
        <w:p w14:paraId="1CBDFB5E" w14:textId="77777777" w:rsidR="00137D90" w:rsidRDefault="00137D90" w:rsidP="009C1E9A">
          <w:pPr>
            <w:pStyle w:val="Footer"/>
            <w:tabs>
              <w:tab w:val="clear" w:pos="8640"/>
              <w:tab w:val="right" w:pos="9360"/>
            </w:tabs>
          </w:pPr>
        </w:p>
      </w:tc>
      <w:tc>
        <w:tcPr>
          <w:tcW w:w="2453" w:type="pct"/>
        </w:tcPr>
        <w:p w14:paraId="3F61097C" w14:textId="77777777" w:rsidR="00137D90" w:rsidRDefault="00137D90" w:rsidP="009C1E9A">
          <w:pPr>
            <w:pStyle w:val="Footer"/>
            <w:tabs>
              <w:tab w:val="clear" w:pos="8640"/>
              <w:tab w:val="right" w:pos="9360"/>
            </w:tabs>
            <w:jc w:val="right"/>
          </w:pPr>
        </w:p>
      </w:tc>
    </w:tr>
    <w:tr w:rsidR="001555B5" w14:paraId="7F586F13" w14:textId="77777777" w:rsidTr="009C1E9A">
      <w:trPr>
        <w:cantSplit/>
      </w:trPr>
      <w:tc>
        <w:tcPr>
          <w:tcW w:w="0" w:type="pct"/>
        </w:tcPr>
        <w:p w14:paraId="3BC8F3E6" w14:textId="77777777" w:rsidR="00EC379B" w:rsidRDefault="00EC379B" w:rsidP="009C1E9A">
          <w:pPr>
            <w:pStyle w:val="Footer"/>
            <w:tabs>
              <w:tab w:val="clear" w:pos="8640"/>
              <w:tab w:val="right" w:pos="9360"/>
            </w:tabs>
          </w:pPr>
        </w:p>
      </w:tc>
      <w:tc>
        <w:tcPr>
          <w:tcW w:w="2395" w:type="pct"/>
        </w:tcPr>
        <w:p w14:paraId="27419459" w14:textId="1B7D7E10" w:rsidR="00EC379B" w:rsidRPr="009C1E9A" w:rsidRDefault="00EE106D" w:rsidP="009C1E9A">
          <w:pPr>
            <w:pStyle w:val="Footer"/>
            <w:tabs>
              <w:tab w:val="clear" w:pos="8640"/>
              <w:tab w:val="right" w:pos="9360"/>
            </w:tabs>
            <w:rPr>
              <w:rFonts w:ascii="Shruti" w:hAnsi="Shruti"/>
              <w:sz w:val="22"/>
            </w:rPr>
          </w:pPr>
          <w:r>
            <w:rPr>
              <w:rFonts w:ascii="Shruti" w:hAnsi="Shruti"/>
              <w:sz w:val="22"/>
            </w:rPr>
            <w:t>88R 21895-D</w:t>
          </w:r>
        </w:p>
      </w:tc>
      <w:tc>
        <w:tcPr>
          <w:tcW w:w="2453" w:type="pct"/>
        </w:tcPr>
        <w:p w14:paraId="19E4F359" w14:textId="4B118294" w:rsidR="00EC379B" w:rsidRDefault="00EE106D" w:rsidP="009C1E9A">
          <w:pPr>
            <w:pStyle w:val="Footer"/>
            <w:tabs>
              <w:tab w:val="clear" w:pos="8640"/>
              <w:tab w:val="right" w:pos="9360"/>
            </w:tabs>
            <w:jc w:val="right"/>
          </w:pPr>
          <w:r>
            <w:fldChar w:fldCharType="begin"/>
          </w:r>
          <w:r>
            <w:instrText xml:space="preserve"> DOCPROPERTY  OTID  \* MERGEFORMAT </w:instrText>
          </w:r>
          <w:r>
            <w:fldChar w:fldCharType="separate"/>
          </w:r>
          <w:r w:rsidR="00C75FF1">
            <w:t>23.93.1142</w:t>
          </w:r>
          <w:r>
            <w:fldChar w:fldCharType="end"/>
          </w:r>
        </w:p>
      </w:tc>
    </w:tr>
    <w:tr w:rsidR="001555B5" w14:paraId="4F696924" w14:textId="77777777" w:rsidTr="009C1E9A">
      <w:trPr>
        <w:cantSplit/>
      </w:trPr>
      <w:tc>
        <w:tcPr>
          <w:tcW w:w="0" w:type="pct"/>
        </w:tcPr>
        <w:p w14:paraId="7EAA329F" w14:textId="77777777" w:rsidR="00EC379B" w:rsidRDefault="00EC379B" w:rsidP="009C1E9A">
          <w:pPr>
            <w:pStyle w:val="Footer"/>
            <w:tabs>
              <w:tab w:val="clear" w:pos="4320"/>
              <w:tab w:val="clear" w:pos="8640"/>
              <w:tab w:val="left" w:pos="2865"/>
            </w:tabs>
          </w:pPr>
        </w:p>
      </w:tc>
      <w:tc>
        <w:tcPr>
          <w:tcW w:w="2395" w:type="pct"/>
        </w:tcPr>
        <w:p w14:paraId="6264EE61" w14:textId="67192F07" w:rsidR="00EC379B" w:rsidRPr="009C1E9A" w:rsidRDefault="00EE106D" w:rsidP="009C1E9A">
          <w:pPr>
            <w:pStyle w:val="Footer"/>
            <w:tabs>
              <w:tab w:val="clear" w:pos="4320"/>
              <w:tab w:val="clear" w:pos="8640"/>
              <w:tab w:val="left" w:pos="2865"/>
            </w:tabs>
            <w:rPr>
              <w:rFonts w:ascii="Shruti" w:hAnsi="Shruti"/>
              <w:sz w:val="22"/>
            </w:rPr>
          </w:pPr>
          <w:r>
            <w:rPr>
              <w:rFonts w:ascii="Shruti" w:hAnsi="Shruti"/>
              <w:sz w:val="22"/>
            </w:rPr>
            <w:t>Substitute Document Number: 88R 15317</w:t>
          </w:r>
        </w:p>
      </w:tc>
      <w:tc>
        <w:tcPr>
          <w:tcW w:w="2453" w:type="pct"/>
        </w:tcPr>
        <w:p w14:paraId="5519D960" w14:textId="77777777" w:rsidR="00EC379B" w:rsidRDefault="00EC379B" w:rsidP="006D504F">
          <w:pPr>
            <w:pStyle w:val="Footer"/>
            <w:rPr>
              <w:rStyle w:val="PageNumber"/>
            </w:rPr>
          </w:pPr>
        </w:p>
        <w:p w14:paraId="5BB5256B" w14:textId="77777777" w:rsidR="00EC379B" w:rsidRDefault="00EC379B" w:rsidP="009C1E9A">
          <w:pPr>
            <w:pStyle w:val="Footer"/>
            <w:tabs>
              <w:tab w:val="clear" w:pos="8640"/>
              <w:tab w:val="right" w:pos="9360"/>
            </w:tabs>
            <w:jc w:val="right"/>
          </w:pPr>
        </w:p>
      </w:tc>
    </w:tr>
    <w:tr w:rsidR="001555B5" w14:paraId="62E5A825" w14:textId="77777777" w:rsidTr="009C1E9A">
      <w:trPr>
        <w:cantSplit/>
        <w:trHeight w:val="323"/>
      </w:trPr>
      <w:tc>
        <w:tcPr>
          <w:tcW w:w="0" w:type="pct"/>
          <w:gridSpan w:val="3"/>
        </w:tcPr>
        <w:p w14:paraId="19F359CE" w14:textId="77777777" w:rsidR="00EC379B" w:rsidRDefault="00EE10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C8F181" w14:textId="77777777" w:rsidR="00EC379B" w:rsidRDefault="00EC379B" w:rsidP="009C1E9A">
          <w:pPr>
            <w:pStyle w:val="Footer"/>
            <w:tabs>
              <w:tab w:val="clear" w:pos="8640"/>
              <w:tab w:val="right" w:pos="9360"/>
            </w:tabs>
            <w:jc w:val="center"/>
          </w:pPr>
        </w:p>
      </w:tc>
    </w:tr>
  </w:tbl>
  <w:p w14:paraId="1F707BD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B41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8667" w14:textId="77777777" w:rsidR="00000000" w:rsidRDefault="00EE106D">
      <w:r>
        <w:separator/>
      </w:r>
    </w:p>
  </w:footnote>
  <w:footnote w:type="continuationSeparator" w:id="0">
    <w:p w14:paraId="5686451F" w14:textId="77777777" w:rsidR="00000000" w:rsidRDefault="00EE1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78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52F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C13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4C2A"/>
    <w:multiLevelType w:val="hybridMultilevel"/>
    <w:tmpl w:val="36C0D5B2"/>
    <w:lvl w:ilvl="0" w:tplc="DF323D0A">
      <w:start w:val="1"/>
      <w:numFmt w:val="bullet"/>
      <w:lvlText w:val=""/>
      <w:lvlJc w:val="left"/>
      <w:pPr>
        <w:tabs>
          <w:tab w:val="num" w:pos="720"/>
        </w:tabs>
        <w:ind w:left="720" w:hanging="360"/>
      </w:pPr>
      <w:rPr>
        <w:rFonts w:ascii="Symbol" w:hAnsi="Symbol" w:hint="default"/>
      </w:rPr>
    </w:lvl>
    <w:lvl w:ilvl="1" w:tplc="0F767888">
      <w:start w:val="1"/>
      <w:numFmt w:val="bullet"/>
      <w:lvlText w:val="o"/>
      <w:lvlJc w:val="left"/>
      <w:pPr>
        <w:ind w:left="1440" w:hanging="360"/>
      </w:pPr>
      <w:rPr>
        <w:rFonts w:ascii="Courier New" w:hAnsi="Courier New" w:cs="Courier New" w:hint="default"/>
      </w:rPr>
    </w:lvl>
    <w:lvl w:ilvl="2" w:tplc="70863A34" w:tentative="1">
      <w:start w:val="1"/>
      <w:numFmt w:val="bullet"/>
      <w:lvlText w:val=""/>
      <w:lvlJc w:val="left"/>
      <w:pPr>
        <w:ind w:left="2160" w:hanging="360"/>
      </w:pPr>
      <w:rPr>
        <w:rFonts w:ascii="Wingdings" w:hAnsi="Wingdings" w:hint="default"/>
      </w:rPr>
    </w:lvl>
    <w:lvl w:ilvl="3" w:tplc="6F48B596" w:tentative="1">
      <w:start w:val="1"/>
      <w:numFmt w:val="bullet"/>
      <w:lvlText w:val=""/>
      <w:lvlJc w:val="left"/>
      <w:pPr>
        <w:ind w:left="2880" w:hanging="360"/>
      </w:pPr>
      <w:rPr>
        <w:rFonts w:ascii="Symbol" w:hAnsi="Symbol" w:hint="default"/>
      </w:rPr>
    </w:lvl>
    <w:lvl w:ilvl="4" w:tplc="A8B0F410" w:tentative="1">
      <w:start w:val="1"/>
      <w:numFmt w:val="bullet"/>
      <w:lvlText w:val="o"/>
      <w:lvlJc w:val="left"/>
      <w:pPr>
        <w:ind w:left="3600" w:hanging="360"/>
      </w:pPr>
      <w:rPr>
        <w:rFonts w:ascii="Courier New" w:hAnsi="Courier New" w:cs="Courier New" w:hint="default"/>
      </w:rPr>
    </w:lvl>
    <w:lvl w:ilvl="5" w:tplc="9CA2998A" w:tentative="1">
      <w:start w:val="1"/>
      <w:numFmt w:val="bullet"/>
      <w:lvlText w:val=""/>
      <w:lvlJc w:val="left"/>
      <w:pPr>
        <w:ind w:left="4320" w:hanging="360"/>
      </w:pPr>
      <w:rPr>
        <w:rFonts w:ascii="Wingdings" w:hAnsi="Wingdings" w:hint="default"/>
      </w:rPr>
    </w:lvl>
    <w:lvl w:ilvl="6" w:tplc="C37E4516" w:tentative="1">
      <w:start w:val="1"/>
      <w:numFmt w:val="bullet"/>
      <w:lvlText w:val=""/>
      <w:lvlJc w:val="left"/>
      <w:pPr>
        <w:ind w:left="5040" w:hanging="360"/>
      </w:pPr>
      <w:rPr>
        <w:rFonts w:ascii="Symbol" w:hAnsi="Symbol" w:hint="default"/>
      </w:rPr>
    </w:lvl>
    <w:lvl w:ilvl="7" w:tplc="F0243774" w:tentative="1">
      <w:start w:val="1"/>
      <w:numFmt w:val="bullet"/>
      <w:lvlText w:val="o"/>
      <w:lvlJc w:val="left"/>
      <w:pPr>
        <w:ind w:left="5760" w:hanging="360"/>
      </w:pPr>
      <w:rPr>
        <w:rFonts w:ascii="Courier New" w:hAnsi="Courier New" w:cs="Courier New" w:hint="default"/>
      </w:rPr>
    </w:lvl>
    <w:lvl w:ilvl="8" w:tplc="B59A6C8E" w:tentative="1">
      <w:start w:val="1"/>
      <w:numFmt w:val="bullet"/>
      <w:lvlText w:val=""/>
      <w:lvlJc w:val="left"/>
      <w:pPr>
        <w:ind w:left="6480" w:hanging="360"/>
      </w:pPr>
      <w:rPr>
        <w:rFonts w:ascii="Wingdings" w:hAnsi="Wingdings" w:hint="default"/>
      </w:rPr>
    </w:lvl>
  </w:abstractNum>
  <w:abstractNum w:abstractNumId="1" w15:restartNumberingAfterBreak="0">
    <w:nsid w:val="6E7E38CC"/>
    <w:multiLevelType w:val="hybridMultilevel"/>
    <w:tmpl w:val="5A92EA02"/>
    <w:lvl w:ilvl="0" w:tplc="97505FC0">
      <w:start w:val="1"/>
      <w:numFmt w:val="bullet"/>
      <w:lvlText w:val=""/>
      <w:lvlJc w:val="left"/>
      <w:pPr>
        <w:tabs>
          <w:tab w:val="num" w:pos="720"/>
        </w:tabs>
        <w:ind w:left="720" w:hanging="360"/>
      </w:pPr>
      <w:rPr>
        <w:rFonts w:ascii="Symbol" w:hAnsi="Symbol" w:hint="default"/>
      </w:rPr>
    </w:lvl>
    <w:lvl w:ilvl="1" w:tplc="A58A426E">
      <w:start w:val="1"/>
      <w:numFmt w:val="bullet"/>
      <w:lvlText w:val="o"/>
      <w:lvlJc w:val="left"/>
      <w:pPr>
        <w:ind w:left="1440" w:hanging="360"/>
      </w:pPr>
      <w:rPr>
        <w:rFonts w:ascii="Courier New" w:hAnsi="Courier New" w:cs="Courier New" w:hint="default"/>
      </w:rPr>
    </w:lvl>
    <w:lvl w:ilvl="2" w:tplc="F14CB23C" w:tentative="1">
      <w:start w:val="1"/>
      <w:numFmt w:val="bullet"/>
      <w:lvlText w:val=""/>
      <w:lvlJc w:val="left"/>
      <w:pPr>
        <w:ind w:left="2160" w:hanging="360"/>
      </w:pPr>
      <w:rPr>
        <w:rFonts w:ascii="Wingdings" w:hAnsi="Wingdings" w:hint="default"/>
      </w:rPr>
    </w:lvl>
    <w:lvl w:ilvl="3" w:tplc="43D479FE" w:tentative="1">
      <w:start w:val="1"/>
      <w:numFmt w:val="bullet"/>
      <w:lvlText w:val=""/>
      <w:lvlJc w:val="left"/>
      <w:pPr>
        <w:ind w:left="2880" w:hanging="360"/>
      </w:pPr>
      <w:rPr>
        <w:rFonts w:ascii="Symbol" w:hAnsi="Symbol" w:hint="default"/>
      </w:rPr>
    </w:lvl>
    <w:lvl w:ilvl="4" w:tplc="80CA6A6E" w:tentative="1">
      <w:start w:val="1"/>
      <w:numFmt w:val="bullet"/>
      <w:lvlText w:val="o"/>
      <w:lvlJc w:val="left"/>
      <w:pPr>
        <w:ind w:left="3600" w:hanging="360"/>
      </w:pPr>
      <w:rPr>
        <w:rFonts w:ascii="Courier New" w:hAnsi="Courier New" w:cs="Courier New" w:hint="default"/>
      </w:rPr>
    </w:lvl>
    <w:lvl w:ilvl="5" w:tplc="65D2BFF8" w:tentative="1">
      <w:start w:val="1"/>
      <w:numFmt w:val="bullet"/>
      <w:lvlText w:val=""/>
      <w:lvlJc w:val="left"/>
      <w:pPr>
        <w:ind w:left="4320" w:hanging="360"/>
      </w:pPr>
      <w:rPr>
        <w:rFonts w:ascii="Wingdings" w:hAnsi="Wingdings" w:hint="default"/>
      </w:rPr>
    </w:lvl>
    <w:lvl w:ilvl="6" w:tplc="28EC645A" w:tentative="1">
      <w:start w:val="1"/>
      <w:numFmt w:val="bullet"/>
      <w:lvlText w:val=""/>
      <w:lvlJc w:val="left"/>
      <w:pPr>
        <w:ind w:left="5040" w:hanging="360"/>
      </w:pPr>
      <w:rPr>
        <w:rFonts w:ascii="Symbol" w:hAnsi="Symbol" w:hint="default"/>
      </w:rPr>
    </w:lvl>
    <w:lvl w:ilvl="7" w:tplc="6A42DA5A" w:tentative="1">
      <w:start w:val="1"/>
      <w:numFmt w:val="bullet"/>
      <w:lvlText w:val="o"/>
      <w:lvlJc w:val="left"/>
      <w:pPr>
        <w:ind w:left="5760" w:hanging="360"/>
      </w:pPr>
      <w:rPr>
        <w:rFonts w:ascii="Courier New" w:hAnsi="Courier New" w:cs="Courier New" w:hint="default"/>
      </w:rPr>
    </w:lvl>
    <w:lvl w:ilvl="8" w:tplc="701407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71"/>
    <w:rsid w:val="00000A70"/>
    <w:rsid w:val="000032B8"/>
    <w:rsid w:val="00003B06"/>
    <w:rsid w:val="000054B9"/>
    <w:rsid w:val="0000720D"/>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5A0"/>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6EC9"/>
    <w:rsid w:val="0010154D"/>
    <w:rsid w:val="00102D3F"/>
    <w:rsid w:val="00102EC7"/>
    <w:rsid w:val="0010347D"/>
    <w:rsid w:val="00110F8C"/>
    <w:rsid w:val="0011274A"/>
    <w:rsid w:val="00113522"/>
    <w:rsid w:val="0011378D"/>
    <w:rsid w:val="0011541A"/>
    <w:rsid w:val="00115EE9"/>
    <w:rsid w:val="001169F9"/>
    <w:rsid w:val="001174B4"/>
    <w:rsid w:val="00120797"/>
    <w:rsid w:val="001218D2"/>
    <w:rsid w:val="0012371B"/>
    <w:rsid w:val="001245C8"/>
    <w:rsid w:val="00124653"/>
    <w:rsid w:val="001247C5"/>
    <w:rsid w:val="00127893"/>
    <w:rsid w:val="00130C42"/>
    <w:rsid w:val="001312BB"/>
    <w:rsid w:val="0013351C"/>
    <w:rsid w:val="00137D90"/>
    <w:rsid w:val="00141FB6"/>
    <w:rsid w:val="00142F8E"/>
    <w:rsid w:val="00143C8B"/>
    <w:rsid w:val="00147530"/>
    <w:rsid w:val="001524C5"/>
    <w:rsid w:val="0015331F"/>
    <w:rsid w:val="001555B5"/>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5CF3"/>
    <w:rsid w:val="00187C1B"/>
    <w:rsid w:val="001908AC"/>
    <w:rsid w:val="00190CFB"/>
    <w:rsid w:val="0019457A"/>
    <w:rsid w:val="00195257"/>
    <w:rsid w:val="00195388"/>
    <w:rsid w:val="0019539E"/>
    <w:rsid w:val="001968BC"/>
    <w:rsid w:val="001A0739"/>
    <w:rsid w:val="001A0F00"/>
    <w:rsid w:val="001A2BDD"/>
    <w:rsid w:val="001A3DDF"/>
    <w:rsid w:val="001A4310"/>
    <w:rsid w:val="001A5B43"/>
    <w:rsid w:val="001B053A"/>
    <w:rsid w:val="001B26D8"/>
    <w:rsid w:val="001B3BFA"/>
    <w:rsid w:val="001B75B8"/>
    <w:rsid w:val="001C1230"/>
    <w:rsid w:val="001C5899"/>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147"/>
    <w:rsid w:val="00222F01"/>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BB5"/>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D0E"/>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A91"/>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944"/>
    <w:rsid w:val="00370155"/>
    <w:rsid w:val="003712D5"/>
    <w:rsid w:val="003747DF"/>
    <w:rsid w:val="003760A8"/>
    <w:rsid w:val="00377E3D"/>
    <w:rsid w:val="003847E8"/>
    <w:rsid w:val="0038731D"/>
    <w:rsid w:val="00387B60"/>
    <w:rsid w:val="00390098"/>
    <w:rsid w:val="00390475"/>
    <w:rsid w:val="00392DA1"/>
    <w:rsid w:val="00393718"/>
    <w:rsid w:val="003A0296"/>
    <w:rsid w:val="003A10BC"/>
    <w:rsid w:val="003A6F2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9AB"/>
    <w:rsid w:val="003C1871"/>
    <w:rsid w:val="003C1C55"/>
    <w:rsid w:val="003C25EA"/>
    <w:rsid w:val="003C36FD"/>
    <w:rsid w:val="003C664C"/>
    <w:rsid w:val="003D726D"/>
    <w:rsid w:val="003E03C4"/>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E84"/>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63FC"/>
    <w:rsid w:val="00492211"/>
    <w:rsid w:val="00492325"/>
    <w:rsid w:val="00492A6D"/>
    <w:rsid w:val="00494303"/>
    <w:rsid w:val="0049682B"/>
    <w:rsid w:val="004977A3"/>
    <w:rsid w:val="004A03F7"/>
    <w:rsid w:val="004A081C"/>
    <w:rsid w:val="004A123F"/>
    <w:rsid w:val="004A2172"/>
    <w:rsid w:val="004A239F"/>
    <w:rsid w:val="004B1376"/>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87D"/>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77804"/>
    <w:rsid w:val="005832EE"/>
    <w:rsid w:val="00584033"/>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4FA8"/>
    <w:rsid w:val="005C5127"/>
    <w:rsid w:val="005C7CCB"/>
    <w:rsid w:val="005D1444"/>
    <w:rsid w:val="005D21C9"/>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AD9"/>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AA2"/>
    <w:rsid w:val="006F365D"/>
    <w:rsid w:val="006F4BB0"/>
    <w:rsid w:val="007031BD"/>
    <w:rsid w:val="00703E80"/>
    <w:rsid w:val="00705276"/>
    <w:rsid w:val="007066A0"/>
    <w:rsid w:val="007075FB"/>
    <w:rsid w:val="0070787B"/>
    <w:rsid w:val="0071131D"/>
    <w:rsid w:val="00711E3D"/>
    <w:rsid w:val="00711E85"/>
    <w:rsid w:val="00712DDA"/>
    <w:rsid w:val="00715DC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2EE"/>
    <w:rsid w:val="00793132"/>
    <w:rsid w:val="0079487D"/>
    <w:rsid w:val="007966D4"/>
    <w:rsid w:val="00796A0A"/>
    <w:rsid w:val="0079792C"/>
    <w:rsid w:val="007A0989"/>
    <w:rsid w:val="007A331F"/>
    <w:rsid w:val="007A3844"/>
    <w:rsid w:val="007A4381"/>
    <w:rsid w:val="007A5466"/>
    <w:rsid w:val="007A629D"/>
    <w:rsid w:val="007A7EC1"/>
    <w:rsid w:val="007B4FCA"/>
    <w:rsid w:val="007B7B85"/>
    <w:rsid w:val="007C462E"/>
    <w:rsid w:val="007C496B"/>
    <w:rsid w:val="007C6803"/>
    <w:rsid w:val="007D2892"/>
    <w:rsid w:val="007D2DCC"/>
    <w:rsid w:val="007D47E1"/>
    <w:rsid w:val="007D7FCB"/>
    <w:rsid w:val="007E33B6"/>
    <w:rsid w:val="007E59E8"/>
    <w:rsid w:val="007E7C6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1A4"/>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5CF"/>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BBB"/>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107"/>
    <w:rsid w:val="00995B0B"/>
    <w:rsid w:val="009A1883"/>
    <w:rsid w:val="009A39F5"/>
    <w:rsid w:val="009A4588"/>
    <w:rsid w:val="009A5EA5"/>
    <w:rsid w:val="009A6F01"/>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888"/>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417"/>
    <w:rsid w:val="00A5364B"/>
    <w:rsid w:val="00A54142"/>
    <w:rsid w:val="00A54C42"/>
    <w:rsid w:val="00A572B1"/>
    <w:rsid w:val="00A577AF"/>
    <w:rsid w:val="00A60177"/>
    <w:rsid w:val="00A61C27"/>
    <w:rsid w:val="00A62638"/>
    <w:rsid w:val="00A6344D"/>
    <w:rsid w:val="00A644B8"/>
    <w:rsid w:val="00A70E35"/>
    <w:rsid w:val="00A7196D"/>
    <w:rsid w:val="00A720DC"/>
    <w:rsid w:val="00A7269B"/>
    <w:rsid w:val="00A80329"/>
    <w:rsid w:val="00A803CF"/>
    <w:rsid w:val="00A8133F"/>
    <w:rsid w:val="00A82CB4"/>
    <w:rsid w:val="00A837A8"/>
    <w:rsid w:val="00A83C36"/>
    <w:rsid w:val="00A932BB"/>
    <w:rsid w:val="00A93579"/>
    <w:rsid w:val="00A93934"/>
    <w:rsid w:val="00A93B9F"/>
    <w:rsid w:val="00A95818"/>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371"/>
    <w:rsid w:val="00AD304B"/>
    <w:rsid w:val="00AD4497"/>
    <w:rsid w:val="00AD7780"/>
    <w:rsid w:val="00AE087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5FD"/>
    <w:rsid w:val="00B73BB4"/>
    <w:rsid w:val="00B74DC1"/>
    <w:rsid w:val="00B80532"/>
    <w:rsid w:val="00B806D7"/>
    <w:rsid w:val="00B82039"/>
    <w:rsid w:val="00B82454"/>
    <w:rsid w:val="00B90097"/>
    <w:rsid w:val="00B90999"/>
    <w:rsid w:val="00B91AD7"/>
    <w:rsid w:val="00B91C61"/>
    <w:rsid w:val="00B921E8"/>
    <w:rsid w:val="00B92D23"/>
    <w:rsid w:val="00B95BC8"/>
    <w:rsid w:val="00B96E87"/>
    <w:rsid w:val="00BA146A"/>
    <w:rsid w:val="00BA32EE"/>
    <w:rsid w:val="00BA3BDC"/>
    <w:rsid w:val="00BB180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A25"/>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D49"/>
    <w:rsid w:val="00C635D2"/>
    <w:rsid w:val="00C72956"/>
    <w:rsid w:val="00C73045"/>
    <w:rsid w:val="00C73212"/>
    <w:rsid w:val="00C7354A"/>
    <w:rsid w:val="00C74379"/>
    <w:rsid w:val="00C74DD8"/>
    <w:rsid w:val="00C75C5E"/>
    <w:rsid w:val="00C75FF1"/>
    <w:rsid w:val="00C7669F"/>
    <w:rsid w:val="00C76DFF"/>
    <w:rsid w:val="00C80B8F"/>
    <w:rsid w:val="00C82743"/>
    <w:rsid w:val="00C834CE"/>
    <w:rsid w:val="00C9047F"/>
    <w:rsid w:val="00C91F65"/>
    <w:rsid w:val="00C92310"/>
    <w:rsid w:val="00C929CB"/>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62C"/>
    <w:rsid w:val="00D37BCF"/>
    <w:rsid w:val="00D40F93"/>
    <w:rsid w:val="00D42277"/>
    <w:rsid w:val="00D43C59"/>
    <w:rsid w:val="00D44ADE"/>
    <w:rsid w:val="00D50D65"/>
    <w:rsid w:val="00D512E0"/>
    <w:rsid w:val="00D519F3"/>
    <w:rsid w:val="00D51D2A"/>
    <w:rsid w:val="00D52B4F"/>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80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C73"/>
    <w:rsid w:val="00DE49DE"/>
    <w:rsid w:val="00DE618B"/>
    <w:rsid w:val="00DE6EC2"/>
    <w:rsid w:val="00DF0834"/>
    <w:rsid w:val="00DF0873"/>
    <w:rsid w:val="00DF2707"/>
    <w:rsid w:val="00DF4D90"/>
    <w:rsid w:val="00DF5EBD"/>
    <w:rsid w:val="00DF6BA8"/>
    <w:rsid w:val="00DF7552"/>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72D"/>
    <w:rsid w:val="00E16D3E"/>
    <w:rsid w:val="00E17167"/>
    <w:rsid w:val="00E20520"/>
    <w:rsid w:val="00E21D55"/>
    <w:rsid w:val="00E21FDC"/>
    <w:rsid w:val="00E2551E"/>
    <w:rsid w:val="00E26B13"/>
    <w:rsid w:val="00E26F32"/>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06D"/>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B2F"/>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E04"/>
    <w:rsid w:val="00FB73AE"/>
    <w:rsid w:val="00FC5388"/>
    <w:rsid w:val="00FC726C"/>
    <w:rsid w:val="00FD1B4B"/>
    <w:rsid w:val="00FD1B94"/>
    <w:rsid w:val="00FE08F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32CC6C-A457-44D1-86AE-EBF86DB5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D0371"/>
    <w:rPr>
      <w:sz w:val="16"/>
      <w:szCs w:val="16"/>
    </w:rPr>
  </w:style>
  <w:style w:type="paragraph" w:styleId="CommentText">
    <w:name w:val="annotation text"/>
    <w:basedOn w:val="Normal"/>
    <w:link w:val="CommentTextChar"/>
    <w:semiHidden/>
    <w:unhideWhenUsed/>
    <w:rsid w:val="00AD0371"/>
    <w:rPr>
      <w:sz w:val="20"/>
      <w:szCs w:val="20"/>
    </w:rPr>
  </w:style>
  <w:style w:type="character" w:customStyle="1" w:styleId="CommentTextChar">
    <w:name w:val="Comment Text Char"/>
    <w:basedOn w:val="DefaultParagraphFont"/>
    <w:link w:val="CommentText"/>
    <w:semiHidden/>
    <w:rsid w:val="00AD0371"/>
  </w:style>
  <w:style w:type="paragraph" w:styleId="CommentSubject">
    <w:name w:val="annotation subject"/>
    <w:basedOn w:val="CommentText"/>
    <w:next w:val="CommentText"/>
    <w:link w:val="CommentSubjectChar"/>
    <w:semiHidden/>
    <w:unhideWhenUsed/>
    <w:rsid w:val="00AD0371"/>
    <w:rPr>
      <w:b/>
      <w:bCs/>
    </w:rPr>
  </w:style>
  <w:style w:type="character" w:customStyle="1" w:styleId="CommentSubjectChar">
    <w:name w:val="Comment Subject Char"/>
    <w:basedOn w:val="CommentTextChar"/>
    <w:link w:val="CommentSubject"/>
    <w:semiHidden/>
    <w:rsid w:val="00AD0371"/>
    <w:rPr>
      <w:b/>
      <w:bCs/>
    </w:rPr>
  </w:style>
  <w:style w:type="character" w:styleId="Hyperlink">
    <w:name w:val="Hyperlink"/>
    <w:basedOn w:val="DefaultParagraphFont"/>
    <w:unhideWhenUsed/>
    <w:rsid w:val="0011541A"/>
    <w:rPr>
      <w:color w:val="0000FF" w:themeColor="hyperlink"/>
      <w:u w:val="single"/>
    </w:rPr>
  </w:style>
  <w:style w:type="paragraph" w:styleId="Revision">
    <w:name w:val="Revision"/>
    <w:hidden/>
    <w:uiPriority w:val="99"/>
    <w:semiHidden/>
    <w:rsid w:val="00AE0870"/>
    <w:rPr>
      <w:sz w:val="24"/>
      <w:szCs w:val="24"/>
    </w:rPr>
  </w:style>
  <w:style w:type="paragraph" w:styleId="Title">
    <w:name w:val="Title"/>
    <w:basedOn w:val="Normal"/>
    <w:next w:val="Normal"/>
    <w:link w:val="TitleChar"/>
    <w:qFormat/>
    <w:rsid w:val="003C09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09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6435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BA - HB00250 (Committee Report (Substituted))</vt:lpstr>
    </vt:vector>
  </TitlesOfParts>
  <Company>State of Texas</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21895</dc:subject>
  <dc:creator>State of Texas</dc:creator>
  <dc:description>HB 250 by González, Mary-(H)Juvenile Justice &amp; Family Issues (Substitute Document Number: 88R 15317)</dc:description>
  <cp:lastModifiedBy>Stacey Nicchio</cp:lastModifiedBy>
  <cp:revision>2</cp:revision>
  <cp:lastPrinted>2003-11-26T17:21:00Z</cp:lastPrinted>
  <dcterms:created xsi:type="dcterms:W3CDTF">2023-04-14T23:06:00Z</dcterms:created>
  <dcterms:modified xsi:type="dcterms:W3CDTF">2023-04-14T23:06:00Z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23.93.1142</vt:lpwstr>
  </property>
</Properties>
</file>