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6282D" w14:paraId="0F1E6C0F" w14:textId="77777777" w:rsidTr="00345119">
        <w:tc>
          <w:tcPr>
            <w:tcW w:w="9576" w:type="dxa"/>
            <w:noWrap/>
          </w:tcPr>
          <w:p w14:paraId="42C4B346" w14:textId="77777777" w:rsidR="008423E4" w:rsidRPr="0022177D" w:rsidRDefault="00F35F06" w:rsidP="00AD6073">
            <w:pPr>
              <w:pStyle w:val="Heading1"/>
            </w:pPr>
            <w:r w:rsidRPr="00631897">
              <w:t>BILL ANALYSIS</w:t>
            </w:r>
          </w:p>
        </w:tc>
      </w:tr>
    </w:tbl>
    <w:p w14:paraId="1D2436F2" w14:textId="77777777" w:rsidR="008423E4" w:rsidRPr="0022177D" w:rsidRDefault="008423E4" w:rsidP="00AD6073">
      <w:pPr>
        <w:jc w:val="center"/>
      </w:pPr>
    </w:p>
    <w:p w14:paraId="115C9DEF" w14:textId="77777777" w:rsidR="008423E4" w:rsidRPr="00B31F0E" w:rsidRDefault="008423E4" w:rsidP="00AD6073"/>
    <w:p w14:paraId="2923A042" w14:textId="77777777" w:rsidR="008423E4" w:rsidRPr="00742794" w:rsidRDefault="008423E4" w:rsidP="00AD607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6282D" w14:paraId="4B19FDAB" w14:textId="77777777" w:rsidTr="00345119">
        <w:tc>
          <w:tcPr>
            <w:tcW w:w="9576" w:type="dxa"/>
          </w:tcPr>
          <w:p w14:paraId="56C7D3ED" w14:textId="1BB203F5" w:rsidR="008423E4" w:rsidRPr="00861995" w:rsidRDefault="00F35F06" w:rsidP="00AD6073">
            <w:pPr>
              <w:jc w:val="right"/>
            </w:pPr>
            <w:r>
              <w:t>H.B. 264</w:t>
            </w:r>
          </w:p>
        </w:tc>
      </w:tr>
      <w:tr w:rsidR="00C6282D" w14:paraId="19497DEB" w14:textId="77777777" w:rsidTr="00345119">
        <w:tc>
          <w:tcPr>
            <w:tcW w:w="9576" w:type="dxa"/>
          </w:tcPr>
          <w:p w14:paraId="3F256968" w14:textId="174E9111" w:rsidR="008423E4" w:rsidRPr="00861995" w:rsidRDefault="00F35F06" w:rsidP="00AD6073">
            <w:pPr>
              <w:jc w:val="right"/>
            </w:pPr>
            <w:r>
              <w:t xml:space="preserve">By: </w:t>
            </w:r>
            <w:r w:rsidR="00B902BE">
              <w:t>Toth</w:t>
            </w:r>
          </w:p>
        </w:tc>
      </w:tr>
      <w:tr w:rsidR="00C6282D" w14:paraId="7B9D4BD7" w14:textId="77777777" w:rsidTr="00345119">
        <w:tc>
          <w:tcPr>
            <w:tcW w:w="9576" w:type="dxa"/>
          </w:tcPr>
          <w:p w14:paraId="3370709F" w14:textId="3C200275" w:rsidR="008423E4" w:rsidRPr="00861995" w:rsidRDefault="00F35F06" w:rsidP="00AD6073">
            <w:pPr>
              <w:jc w:val="right"/>
            </w:pPr>
            <w:r>
              <w:t>Pensions, Investments &amp; Financial Services</w:t>
            </w:r>
          </w:p>
        </w:tc>
      </w:tr>
      <w:tr w:rsidR="00C6282D" w14:paraId="5333B4C6" w14:textId="77777777" w:rsidTr="00345119">
        <w:tc>
          <w:tcPr>
            <w:tcW w:w="9576" w:type="dxa"/>
          </w:tcPr>
          <w:p w14:paraId="5C736D44" w14:textId="330B0EB5" w:rsidR="008423E4" w:rsidRDefault="00F35F06" w:rsidP="00AD6073">
            <w:pPr>
              <w:jc w:val="right"/>
            </w:pPr>
            <w:r>
              <w:t>Committee Report (Unamended)</w:t>
            </w:r>
          </w:p>
        </w:tc>
      </w:tr>
    </w:tbl>
    <w:p w14:paraId="01AAFF6D" w14:textId="77777777" w:rsidR="008423E4" w:rsidRDefault="008423E4" w:rsidP="00AD6073">
      <w:pPr>
        <w:tabs>
          <w:tab w:val="right" w:pos="9360"/>
        </w:tabs>
      </w:pPr>
    </w:p>
    <w:p w14:paraId="1815B6DE" w14:textId="77777777" w:rsidR="008423E4" w:rsidRDefault="008423E4" w:rsidP="00AD6073"/>
    <w:p w14:paraId="141513F5" w14:textId="77777777" w:rsidR="008423E4" w:rsidRDefault="008423E4" w:rsidP="00AD607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6282D" w14:paraId="5A2DA2A0" w14:textId="77777777" w:rsidTr="00345119">
        <w:tc>
          <w:tcPr>
            <w:tcW w:w="9576" w:type="dxa"/>
          </w:tcPr>
          <w:p w14:paraId="07AB560E" w14:textId="77777777" w:rsidR="008423E4" w:rsidRPr="00A8133F" w:rsidRDefault="00F35F06" w:rsidP="00AD60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3110577" w14:textId="77777777" w:rsidR="008423E4" w:rsidRDefault="008423E4" w:rsidP="00AD6073"/>
          <w:p w14:paraId="11379530" w14:textId="3C2615B0" w:rsidR="00D46A3C" w:rsidRDefault="00F35F06" w:rsidP="00AD6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Texas Constitution considers a home equity loan to be a valid lien on Texas </w:t>
            </w:r>
            <w:r w:rsidR="00210A00">
              <w:t>h</w:t>
            </w:r>
            <w:r>
              <w:t>omestead property, but with many conditions. One of those conditions is that a home equity loan be closed at the office of the lender, an attorney at law</w:t>
            </w:r>
            <w:r w:rsidR="003C5F50">
              <w:t>,</w:t>
            </w:r>
            <w:r>
              <w:t xml:space="preserve"> or a title company. </w:t>
            </w:r>
            <w:r w:rsidR="003C5F50">
              <w:t xml:space="preserve">Further, the Texas Supreme Court has ruled that a power of attorney used for a home equity loan must also be executed in one of those prescribed locations. </w:t>
            </w:r>
            <w:r>
              <w:t xml:space="preserve">Constituents concerned by these constraints requested legislation to allow for virtual closings for </w:t>
            </w:r>
            <w:r>
              <w:t>a limited number of individuals who cannot attend an in-person closing due to military duties, verified disability or quarantine needs, or incarceration.</w:t>
            </w:r>
            <w:r w:rsidR="00E37312">
              <w:t xml:space="preserve"> </w:t>
            </w:r>
            <w:r>
              <w:t>H.B.</w:t>
            </w:r>
            <w:r w:rsidR="009F3C9A">
              <w:t> </w:t>
            </w:r>
            <w:r>
              <w:t xml:space="preserve">264 seeks to </w:t>
            </w:r>
            <w:r w:rsidR="00E37312">
              <w:t>address this issue by providing for</w:t>
            </w:r>
            <w:r>
              <w:t xml:space="preserve"> virtual closings </w:t>
            </w:r>
            <w:r w:rsidR="00E37312">
              <w:t>for certain</w:t>
            </w:r>
            <w:r>
              <w:t xml:space="preserve"> borrower</w:t>
            </w:r>
            <w:r w:rsidR="00E37312">
              <w:t>s</w:t>
            </w:r>
            <w:r>
              <w:t>.</w:t>
            </w:r>
          </w:p>
          <w:p w14:paraId="09BE0760" w14:textId="77777777" w:rsidR="008423E4" w:rsidRPr="00E26B13" w:rsidRDefault="008423E4" w:rsidP="00AD6073">
            <w:pPr>
              <w:rPr>
                <w:b/>
              </w:rPr>
            </w:pPr>
          </w:p>
        </w:tc>
      </w:tr>
      <w:tr w:rsidR="00C6282D" w14:paraId="300EDEBC" w14:textId="77777777" w:rsidTr="00345119">
        <w:tc>
          <w:tcPr>
            <w:tcW w:w="9576" w:type="dxa"/>
          </w:tcPr>
          <w:p w14:paraId="23C4A92C" w14:textId="77777777" w:rsidR="0017725B" w:rsidRDefault="00F35F06" w:rsidP="00AD60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</w:t>
            </w:r>
            <w:r>
              <w:rPr>
                <w:b/>
                <w:u w:val="single"/>
              </w:rPr>
              <w:t>AL JUSTICE IMPACT</w:t>
            </w:r>
          </w:p>
          <w:p w14:paraId="4A9AB6AE" w14:textId="77777777" w:rsidR="0017725B" w:rsidRDefault="0017725B" w:rsidP="00AD6073">
            <w:pPr>
              <w:rPr>
                <w:b/>
                <w:u w:val="single"/>
              </w:rPr>
            </w:pPr>
          </w:p>
          <w:p w14:paraId="7F21479F" w14:textId="3AC58F28" w:rsidR="006A2D44" w:rsidRPr="006A2D44" w:rsidRDefault="00F35F06" w:rsidP="00AD607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</w:t>
            </w:r>
            <w:r>
              <w:t xml:space="preserve"> parole, or mandatory supervision.</w:t>
            </w:r>
          </w:p>
          <w:p w14:paraId="546E8C72" w14:textId="77777777" w:rsidR="0017725B" w:rsidRPr="0017725B" w:rsidRDefault="0017725B" w:rsidP="00AD6073">
            <w:pPr>
              <w:rPr>
                <w:b/>
                <w:u w:val="single"/>
              </w:rPr>
            </w:pPr>
          </w:p>
        </w:tc>
      </w:tr>
      <w:tr w:rsidR="00C6282D" w14:paraId="675BCFDA" w14:textId="77777777" w:rsidTr="00345119">
        <w:tc>
          <w:tcPr>
            <w:tcW w:w="9576" w:type="dxa"/>
          </w:tcPr>
          <w:p w14:paraId="4583ACA9" w14:textId="77777777" w:rsidR="008423E4" w:rsidRPr="00A8133F" w:rsidRDefault="00F35F06" w:rsidP="00AD60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783AB7B" w14:textId="77777777" w:rsidR="008423E4" w:rsidRDefault="008423E4" w:rsidP="00AD6073"/>
          <w:p w14:paraId="53B14532" w14:textId="52B8773D" w:rsidR="006A2D44" w:rsidRDefault="00F35F06" w:rsidP="00AD6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C2A21B4" w14:textId="77777777" w:rsidR="008423E4" w:rsidRPr="00E21FDC" w:rsidRDefault="008423E4" w:rsidP="00AD6073">
            <w:pPr>
              <w:rPr>
                <w:b/>
              </w:rPr>
            </w:pPr>
          </w:p>
        </w:tc>
      </w:tr>
      <w:tr w:rsidR="00C6282D" w14:paraId="1361C119" w14:textId="77777777" w:rsidTr="00345119">
        <w:tc>
          <w:tcPr>
            <w:tcW w:w="9576" w:type="dxa"/>
          </w:tcPr>
          <w:p w14:paraId="4841D9C0" w14:textId="77777777" w:rsidR="008423E4" w:rsidRPr="00A8133F" w:rsidRDefault="00F35F06" w:rsidP="00AD607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4B88BF" w14:textId="77777777" w:rsidR="008423E4" w:rsidRDefault="008423E4" w:rsidP="00AD6073"/>
          <w:p w14:paraId="69C9D3BD" w14:textId="4876074B" w:rsidR="009C36CD" w:rsidRDefault="00F35F06" w:rsidP="00AD6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264 </w:t>
            </w:r>
            <w:r w:rsidR="00BC76CA" w:rsidRPr="00BC76CA">
              <w:t xml:space="preserve">amends the Finance Code to authorize </w:t>
            </w:r>
            <w:r w:rsidR="00734755">
              <w:t>an eligible</w:t>
            </w:r>
            <w:r w:rsidR="00734755" w:rsidRPr="00BC76CA">
              <w:t xml:space="preserve"> </w:t>
            </w:r>
            <w:r w:rsidR="00BC76CA" w:rsidRPr="00BC76CA">
              <w:t>borrower of a home equity loan, in</w:t>
            </w:r>
            <w:r w:rsidR="00975ECF">
              <w:t> </w:t>
            </w:r>
            <w:r w:rsidR="00BC76CA" w:rsidRPr="00BC76CA">
              <w:t>lieu of closing the loan in person at the office of the lender, an attorney, or a title company, to close the loan as follows:</w:t>
            </w:r>
          </w:p>
          <w:p w14:paraId="37932781" w14:textId="77777777" w:rsidR="00BC76CA" w:rsidRDefault="00F35F06" w:rsidP="00AD607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from a remote location using remote online no</w:t>
            </w:r>
            <w:r>
              <w:t>tarization; or</w:t>
            </w:r>
          </w:p>
          <w:p w14:paraId="235F4F37" w14:textId="77777777" w:rsidR="00BC76CA" w:rsidRDefault="00F35F06" w:rsidP="00AD607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through an agent who </w:t>
            </w:r>
            <w:r w:rsidRPr="00BC76CA">
              <w:t>meets the following criteria</w:t>
            </w:r>
            <w:r>
              <w:t>:</w:t>
            </w:r>
          </w:p>
          <w:p w14:paraId="1A6EB22C" w14:textId="4EA9BED0" w:rsidR="00BC76CA" w:rsidRDefault="00F35F06" w:rsidP="00AD6073">
            <w:pPr>
              <w:pStyle w:val="Header"/>
              <w:numPr>
                <w:ilvl w:val="1"/>
                <w:numId w:val="2"/>
              </w:numPr>
              <w:jc w:val="both"/>
            </w:pPr>
            <w:r w:rsidRPr="00F95F05">
              <w:t>the agent is acting under a durable power of attorney that expressly grants the agent the authority to engage in a home equity loan transaction on behalf of the borrower, regardless of where</w:t>
            </w:r>
            <w:r w:rsidRPr="00F95F05">
              <w:t xml:space="preserve"> the borrower signed the power of attorney; and</w:t>
            </w:r>
          </w:p>
          <w:p w14:paraId="23B5F683" w14:textId="14463A99" w:rsidR="00BC76CA" w:rsidRDefault="00F35F06" w:rsidP="00AD6073">
            <w:pPr>
              <w:pStyle w:val="Header"/>
              <w:numPr>
                <w:ilvl w:val="1"/>
                <w:numId w:val="2"/>
              </w:numPr>
              <w:jc w:val="both"/>
            </w:pPr>
            <w:r w:rsidRPr="00F95F05">
              <w:t>the agent appears in person for the closing at the office of the lender, attorney, or title company on behalf of the borrower.</w:t>
            </w:r>
          </w:p>
          <w:p w14:paraId="5BE9E8C1" w14:textId="1337FAD9" w:rsidR="00BC76CA" w:rsidRDefault="00F35F06" w:rsidP="00AD6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C76CA">
              <w:t>This authorization applies to the closing of a home equity loan by a borrower who</w:t>
            </w:r>
            <w:r w:rsidRPr="00BC76CA">
              <w:t xml:space="preserve"> meets the following criteria:</w:t>
            </w:r>
          </w:p>
          <w:p w14:paraId="424E63BA" w14:textId="6F83C521" w:rsidR="00221F6F" w:rsidRDefault="00F35F06" w:rsidP="00AD607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borrower is located outside of </w:t>
            </w:r>
            <w:r w:rsidR="00901402">
              <w:t xml:space="preserve">Texas </w:t>
            </w:r>
            <w:r>
              <w:t>at the time of the closing and is:</w:t>
            </w:r>
          </w:p>
          <w:p w14:paraId="4E42F1DD" w14:textId="7968E150" w:rsidR="00221F6F" w:rsidRDefault="00F35F06" w:rsidP="00AD6073">
            <w:pPr>
              <w:pStyle w:val="Header"/>
              <w:numPr>
                <w:ilvl w:val="1"/>
                <w:numId w:val="1"/>
              </w:numPr>
              <w:jc w:val="both"/>
            </w:pPr>
            <w:r w:rsidRPr="00F95F05">
              <w:t>a member of the U.S. armed forces who is on active duty or the spouse or surviving spouse of the member;</w:t>
            </w:r>
          </w:p>
          <w:p w14:paraId="5BC6BFA8" w14:textId="0CB7C880" w:rsidR="00221F6F" w:rsidRDefault="00F35F06" w:rsidP="00AD6073">
            <w:pPr>
              <w:pStyle w:val="Header"/>
              <w:numPr>
                <w:ilvl w:val="1"/>
                <w:numId w:val="1"/>
              </w:numPr>
              <w:jc w:val="both"/>
            </w:pPr>
            <w:r w:rsidRPr="00F95F05">
              <w:t xml:space="preserve">an officer of the Commissioned Corps of the </w:t>
            </w:r>
            <w:r w:rsidRPr="00F95F05">
              <w:t>U.S. Public Health Service who is on active duty or the spouse or surviving spouse of the member;</w:t>
            </w:r>
          </w:p>
          <w:p w14:paraId="6BE81407" w14:textId="5758946F" w:rsidR="00221F6F" w:rsidRDefault="00F35F06" w:rsidP="00AD6073">
            <w:pPr>
              <w:pStyle w:val="Header"/>
              <w:numPr>
                <w:ilvl w:val="1"/>
                <w:numId w:val="1"/>
              </w:numPr>
              <w:jc w:val="both"/>
            </w:pPr>
            <w:r w:rsidRPr="00F95F05">
              <w:t>a member of reserve components of the U.S. armed forces who is on active duty or the spouse or surviving spouse of the member; or</w:t>
            </w:r>
          </w:p>
          <w:p w14:paraId="016EFC7B" w14:textId="676036CE" w:rsidR="00221F6F" w:rsidRDefault="00F35F06" w:rsidP="00AD6073">
            <w:pPr>
              <w:pStyle w:val="Header"/>
              <w:numPr>
                <w:ilvl w:val="1"/>
                <w:numId w:val="1"/>
              </w:numPr>
              <w:jc w:val="both"/>
            </w:pPr>
            <w:r w:rsidRPr="00F95F05">
              <w:t>a civilian employee of the f</w:t>
            </w:r>
            <w:r w:rsidRPr="00F95F05">
              <w:t>ederal government employed by, serving with, or accompanying the U.S. armed forces, if assigned to a foreign country or a vessel or unit of the U.S. armed forces;</w:t>
            </w:r>
          </w:p>
          <w:p w14:paraId="2A5BB886" w14:textId="6B71ABB9" w:rsidR="00221F6F" w:rsidRDefault="00F35F06" w:rsidP="00AD607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</w:t>
            </w:r>
            <w:r w:rsidR="00B61A0A">
              <w:t xml:space="preserve">borrower </w:t>
            </w:r>
            <w:r>
              <w:t>has a disability that prohibits travel or is quarantined to protect the borrower</w:t>
            </w:r>
            <w:r>
              <w:t>'s health or the health of others, as verified by a written letter from a physician; or</w:t>
            </w:r>
          </w:p>
          <w:p w14:paraId="1EB17021" w14:textId="5C1E4173" w:rsidR="00B61A0A" w:rsidRDefault="00F35F06" w:rsidP="00AD607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borrower </w:t>
            </w:r>
            <w:r w:rsidR="00221F6F">
              <w:t>is unable to travel to the closing because the borrower is incarcerated or under house arrest.</w:t>
            </w:r>
          </w:p>
          <w:p w14:paraId="2736D3BA" w14:textId="03602345" w:rsidR="00BC76CA" w:rsidRDefault="00F35F06" w:rsidP="00AD6073">
            <w:pPr>
              <w:pStyle w:val="Header"/>
              <w:jc w:val="both"/>
            </w:pPr>
            <w:r>
              <w:t xml:space="preserve">  </w:t>
            </w:r>
          </w:p>
          <w:p w14:paraId="1495AE84" w14:textId="0DA4F387" w:rsidR="00820E54" w:rsidRDefault="00F35F06" w:rsidP="00AD6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0316E">
              <w:t xml:space="preserve">H.B. 264 amends the Estates </w:t>
            </w:r>
            <w:r w:rsidR="00687C11">
              <w:t>C</w:t>
            </w:r>
            <w:r w:rsidRPr="0060316E">
              <w:t>ode to make conforming chang</w:t>
            </w:r>
            <w:r w:rsidRPr="0060316E">
              <w:t xml:space="preserve">es </w:t>
            </w:r>
            <w:r w:rsidR="00410D87" w:rsidRPr="0060316E">
              <w:t>to the</w:t>
            </w:r>
            <w:r w:rsidR="004B48DD" w:rsidRPr="0060316E">
              <w:t xml:space="preserve"> statutory durable power of attorney </w:t>
            </w:r>
            <w:r w:rsidR="00C97124" w:rsidRPr="0060316E">
              <w:t xml:space="preserve">form </w:t>
            </w:r>
            <w:r w:rsidR="004B48DD" w:rsidRPr="0060316E">
              <w:t>and the</w:t>
            </w:r>
            <w:r w:rsidR="00410D87" w:rsidRPr="0060316E">
              <w:t xml:space="preserve"> </w:t>
            </w:r>
            <w:r w:rsidRPr="0060316E">
              <w:t>form</w:t>
            </w:r>
            <w:r w:rsidR="0056614A" w:rsidRPr="0060316E">
              <w:t xml:space="preserve"> </w:t>
            </w:r>
            <w:r w:rsidR="00410D87" w:rsidRPr="0060316E">
              <w:t>for certification of durable power of attorney by an agent</w:t>
            </w:r>
            <w:r w:rsidR="0056614A">
              <w:t>. The bill also</w:t>
            </w:r>
            <w:r w:rsidR="004B48DD">
              <w:t xml:space="preserve"> clarif</w:t>
            </w:r>
            <w:r w:rsidR="0056614A">
              <w:t xml:space="preserve">ies </w:t>
            </w:r>
            <w:r w:rsidR="00C97124">
              <w:t xml:space="preserve">in the statutory durable power of attorney form </w:t>
            </w:r>
            <w:r w:rsidR="0056614A">
              <w:t xml:space="preserve">that home equity loan transactions </w:t>
            </w:r>
            <w:r w:rsidR="0056614A" w:rsidRPr="0060316E">
              <w:t>fall under the category</w:t>
            </w:r>
            <w:r w:rsidR="0056614A">
              <w:t xml:space="preserve"> of real property transactions</w:t>
            </w:r>
            <w:r w:rsidR="00687C11">
              <w:t xml:space="preserve"> for purposes of granting agent powers</w:t>
            </w:r>
            <w:r>
              <w:t>.</w:t>
            </w:r>
            <w:r w:rsidR="004B48DD">
              <w:t xml:space="preserve"> </w:t>
            </w:r>
            <w:r>
              <w:t xml:space="preserve"> </w:t>
            </w:r>
          </w:p>
          <w:p w14:paraId="44A080B6" w14:textId="77777777" w:rsidR="00820E54" w:rsidRDefault="00820E54" w:rsidP="00AD6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1D5077F" w14:textId="160517A0" w:rsidR="00073391" w:rsidRPr="009C36CD" w:rsidRDefault="00F35F06" w:rsidP="00AD6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264</w:t>
            </w:r>
            <w:r w:rsidR="00410D87">
              <w:t xml:space="preserve"> appl</w:t>
            </w:r>
            <w:r>
              <w:t>ies</w:t>
            </w:r>
            <w:r w:rsidR="00410D87">
              <w:t xml:space="preserve"> only to a durable power of attorney executed on or after the bill's effective date.</w:t>
            </w:r>
            <w:r w:rsidR="006A2D44">
              <w:t xml:space="preserve">  </w:t>
            </w:r>
          </w:p>
          <w:p w14:paraId="7ECCD704" w14:textId="77777777" w:rsidR="008423E4" w:rsidRPr="00835628" w:rsidRDefault="008423E4" w:rsidP="00AD6073">
            <w:pPr>
              <w:rPr>
                <w:b/>
              </w:rPr>
            </w:pPr>
          </w:p>
        </w:tc>
      </w:tr>
      <w:tr w:rsidR="00C6282D" w14:paraId="7A9BCE5F" w14:textId="77777777" w:rsidTr="00345119">
        <w:tc>
          <w:tcPr>
            <w:tcW w:w="9576" w:type="dxa"/>
          </w:tcPr>
          <w:p w14:paraId="28398D50" w14:textId="77777777" w:rsidR="008423E4" w:rsidRPr="00A8133F" w:rsidRDefault="00F35F06" w:rsidP="00AD607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EEF680" w14:textId="77777777" w:rsidR="008423E4" w:rsidRDefault="008423E4" w:rsidP="00AD6073"/>
          <w:p w14:paraId="64736E6E" w14:textId="464D644C" w:rsidR="008423E4" w:rsidRPr="003624F2" w:rsidRDefault="00F35F06" w:rsidP="00AD6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A2D44">
              <w:t>January 1, 202</w:t>
            </w:r>
            <w:r>
              <w:t>4</w:t>
            </w:r>
            <w:r w:rsidRPr="006A2D44">
              <w:t>, if the constitutional amendment authorizing the legislature to provide for exceptions to the requirement that a home equity loan be closed only at the office of the lender, an at</w:t>
            </w:r>
            <w:r w:rsidRPr="006A2D44">
              <w:t>torney at law, or a title company is approved by the voters.</w:t>
            </w:r>
          </w:p>
          <w:p w14:paraId="3B605B50" w14:textId="77777777" w:rsidR="008423E4" w:rsidRPr="00233FDB" w:rsidRDefault="008423E4" w:rsidP="00AD6073">
            <w:pPr>
              <w:rPr>
                <w:b/>
              </w:rPr>
            </w:pPr>
          </w:p>
        </w:tc>
      </w:tr>
    </w:tbl>
    <w:p w14:paraId="46490933" w14:textId="77777777" w:rsidR="008423E4" w:rsidRPr="00BE0E75" w:rsidRDefault="008423E4" w:rsidP="00AD6073">
      <w:pPr>
        <w:jc w:val="both"/>
        <w:rPr>
          <w:rFonts w:ascii="Arial" w:hAnsi="Arial"/>
          <w:sz w:val="16"/>
          <w:szCs w:val="16"/>
        </w:rPr>
      </w:pPr>
    </w:p>
    <w:p w14:paraId="7AF2B893" w14:textId="77777777" w:rsidR="004108C3" w:rsidRPr="008423E4" w:rsidRDefault="004108C3" w:rsidP="00AD607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7C87" w14:textId="77777777" w:rsidR="00000000" w:rsidRDefault="00F35F06">
      <w:r>
        <w:separator/>
      </w:r>
    </w:p>
  </w:endnote>
  <w:endnote w:type="continuationSeparator" w:id="0">
    <w:p w14:paraId="369A298C" w14:textId="77777777" w:rsidR="00000000" w:rsidRDefault="00F3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055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6282D" w14:paraId="11844FCB" w14:textId="77777777" w:rsidTr="009C1E9A">
      <w:trPr>
        <w:cantSplit/>
      </w:trPr>
      <w:tc>
        <w:tcPr>
          <w:tcW w:w="0" w:type="pct"/>
        </w:tcPr>
        <w:p w14:paraId="32846C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36D5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A505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BF34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659E3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282D" w14:paraId="2B0D1361" w14:textId="77777777" w:rsidTr="009C1E9A">
      <w:trPr>
        <w:cantSplit/>
      </w:trPr>
      <w:tc>
        <w:tcPr>
          <w:tcW w:w="0" w:type="pct"/>
        </w:tcPr>
        <w:p w14:paraId="1BF5D3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D0C368" w14:textId="27C542DB" w:rsidR="00EC379B" w:rsidRPr="009C1E9A" w:rsidRDefault="00F35F0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19778-D</w:t>
          </w:r>
        </w:p>
      </w:tc>
      <w:tc>
        <w:tcPr>
          <w:tcW w:w="2453" w:type="pct"/>
        </w:tcPr>
        <w:p w14:paraId="23E5341D" w14:textId="6BD520F8" w:rsidR="00EC379B" w:rsidRDefault="00F35F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24497">
            <w:t>23.80.1026</w:t>
          </w:r>
          <w:r>
            <w:fldChar w:fldCharType="end"/>
          </w:r>
        </w:p>
      </w:tc>
    </w:tr>
    <w:tr w:rsidR="00C6282D" w14:paraId="1A2DB7A0" w14:textId="77777777" w:rsidTr="009C1E9A">
      <w:trPr>
        <w:cantSplit/>
      </w:trPr>
      <w:tc>
        <w:tcPr>
          <w:tcW w:w="0" w:type="pct"/>
        </w:tcPr>
        <w:p w14:paraId="2FAD37B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3F72A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41D235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E28C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282D" w14:paraId="018FC2A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EA3197" w14:textId="77777777" w:rsidR="00EC379B" w:rsidRDefault="00F35F0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7D5E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32BEEF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8CA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0418" w14:textId="77777777" w:rsidR="00000000" w:rsidRDefault="00F35F06">
      <w:r>
        <w:separator/>
      </w:r>
    </w:p>
  </w:footnote>
  <w:footnote w:type="continuationSeparator" w:id="0">
    <w:p w14:paraId="0E2B5A5F" w14:textId="77777777" w:rsidR="00000000" w:rsidRDefault="00F3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A40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0BB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BD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6427"/>
    <w:multiLevelType w:val="hybridMultilevel"/>
    <w:tmpl w:val="E3AE3C40"/>
    <w:lvl w:ilvl="0" w:tplc="DBCCD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A1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8E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A0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0E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E5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C3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86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4C9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06BC"/>
    <w:multiLevelType w:val="hybridMultilevel"/>
    <w:tmpl w:val="13E48F3A"/>
    <w:lvl w:ilvl="0" w:tplc="901C2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6E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04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ED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F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6E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C2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62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96503">
    <w:abstractNumId w:val="0"/>
  </w:num>
  <w:num w:numId="2" w16cid:durableId="94885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3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391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5BB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A0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B6F"/>
    <w:rsid w:val="00161E93"/>
    <w:rsid w:val="00162C7A"/>
    <w:rsid w:val="00162DAE"/>
    <w:rsid w:val="001639C5"/>
    <w:rsid w:val="00163E45"/>
    <w:rsid w:val="001664C2"/>
    <w:rsid w:val="00171037"/>
    <w:rsid w:val="00171BF2"/>
    <w:rsid w:val="0017347B"/>
    <w:rsid w:val="0017725B"/>
    <w:rsid w:val="0018050C"/>
    <w:rsid w:val="0018117F"/>
    <w:rsid w:val="001824ED"/>
    <w:rsid w:val="00183262"/>
    <w:rsid w:val="0018431B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E81"/>
    <w:rsid w:val="001F6B91"/>
    <w:rsid w:val="001F703C"/>
    <w:rsid w:val="00200B9E"/>
    <w:rsid w:val="00200BF5"/>
    <w:rsid w:val="002010D1"/>
    <w:rsid w:val="00201338"/>
    <w:rsid w:val="0020775D"/>
    <w:rsid w:val="00210A00"/>
    <w:rsid w:val="002116DD"/>
    <w:rsid w:val="0021383D"/>
    <w:rsid w:val="00216BBA"/>
    <w:rsid w:val="00216E12"/>
    <w:rsid w:val="00217466"/>
    <w:rsid w:val="0021751D"/>
    <w:rsid w:val="00217C49"/>
    <w:rsid w:val="0022177D"/>
    <w:rsid w:val="00221F6F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5F4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85A"/>
    <w:rsid w:val="003305F5"/>
    <w:rsid w:val="00333930"/>
    <w:rsid w:val="00336BA4"/>
    <w:rsid w:val="00336C7A"/>
    <w:rsid w:val="00337392"/>
    <w:rsid w:val="00337659"/>
    <w:rsid w:val="00341408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BA4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F50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0D87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8DD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0D7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454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14A"/>
    <w:rsid w:val="005666D5"/>
    <w:rsid w:val="005669A7"/>
    <w:rsid w:val="00570D9B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AC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4"/>
    <w:rsid w:val="00600BAA"/>
    <w:rsid w:val="006012DA"/>
    <w:rsid w:val="0060316E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0CFF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5D2"/>
    <w:rsid w:val="00684B98"/>
    <w:rsid w:val="00685DC9"/>
    <w:rsid w:val="00687465"/>
    <w:rsid w:val="00687C11"/>
    <w:rsid w:val="006907CF"/>
    <w:rsid w:val="00691CCF"/>
    <w:rsid w:val="00693AFA"/>
    <w:rsid w:val="00695101"/>
    <w:rsid w:val="00695B9A"/>
    <w:rsid w:val="00696563"/>
    <w:rsid w:val="006979F8"/>
    <w:rsid w:val="006A2D44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75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37E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6DE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AF1"/>
    <w:rsid w:val="00814516"/>
    <w:rsid w:val="00815C9D"/>
    <w:rsid w:val="008170E2"/>
    <w:rsid w:val="00820E54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DCF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DF0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402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999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EC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C9A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497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F24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073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A0A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2BE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6CA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82D"/>
    <w:rsid w:val="00C669A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124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A3C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D7E20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312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EE2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E54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F06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F05"/>
    <w:rsid w:val="00F96602"/>
    <w:rsid w:val="00F9735A"/>
    <w:rsid w:val="00FA32FC"/>
    <w:rsid w:val="00FA59FD"/>
    <w:rsid w:val="00FA5D8C"/>
    <w:rsid w:val="00FA6403"/>
    <w:rsid w:val="00FB16CD"/>
    <w:rsid w:val="00FB6874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8F9FCF-F2FB-4715-B387-EABAC0A2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C76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7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76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6CA"/>
    <w:rPr>
      <w:b/>
      <w:bCs/>
    </w:rPr>
  </w:style>
  <w:style w:type="paragraph" w:styleId="Revision">
    <w:name w:val="Revision"/>
    <w:hidden/>
    <w:uiPriority w:val="99"/>
    <w:semiHidden/>
    <w:rsid w:val="00B902BE"/>
    <w:rPr>
      <w:sz w:val="24"/>
      <w:szCs w:val="24"/>
    </w:rPr>
  </w:style>
  <w:style w:type="character" w:styleId="Hyperlink">
    <w:name w:val="Hyperlink"/>
    <w:basedOn w:val="DefaultParagraphFont"/>
    <w:unhideWhenUsed/>
    <w:rsid w:val="003C5F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3230</Characters>
  <Application>Microsoft Office Word</Application>
  <DocSecurity>4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HB00264 (Committee Report (Unamended))</vt:lpstr>
    </vt:vector>
  </TitlesOfParts>
  <Company>State of Texas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19778</dc:subject>
  <dc:creator>State of Texas</dc:creator>
  <dc:description>HB 264 by Toth-(H)Pensions, Investments &amp; Financial Services</dc:description>
  <cp:lastModifiedBy>Stacey Nicchio</cp:lastModifiedBy>
  <cp:revision>2</cp:revision>
  <cp:lastPrinted>2003-11-26T17:21:00Z</cp:lastPrinted>
  <dcterms:created xsi:type="dcterms:W3CDTF">2023-03-30T19:43:00Z</dcterms:created>
  <dcterms:modified xsi:type="dcterms:W3CDTF">2023-03-30T19:43:00Z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23.80.1026</vt:lpwstr>
  </property>
</Properties>
</file>