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71DA" w14:paraId="4BBCF0E5" w14:textId="77777777" w:rsidTr="00345119">
        <w:tc>
          <w:tcPr>
            <w:tcW w:w="9576" w:type="dxa"/>
            <w:noWrap/>
          </w:tcPr>
          <w:p w14:paraId="58EB08C9" w14:textId="77777777" w:rsidR="008423E4" w:rsidRPr="0022177D" w:rsidRDefault="002B239C" w:rsidP="00945106">
            <w:pPr>
              <w:pStyle w:val="Heading1"/>
            </w:pPr>
            <w:r w:rsidRPr="00631897">
              <w:t>BILL ANALYSIS</w:t>
            </w:r>
          </w:p>
        </w:tc>
      </w:tr>
    </w:tbl>
    <w:p w14:paraId="2A724DEB" w14:textId="77777777" w:rsidR="008423E4" w:rsidRPr="0022177D" w:rsidRDefault="008423E4" w:rsidP="00945106">
      <w:pPr>
        <w:jc w:val="center"/>
      </w:pPr>
    </w:p>
    <w:p w14:paraId="7E240A35" w14:textId="77777777" w:rsidR="008423E4" w:rsidRPr="00B31F0E" w:rsidRDefault="008423E4" w:rsidP="00945106"/>
    <w:p w14:paraId="47A88B4A" w14:textId="77777777" w:rsidR="008423E4" w:rsidRPr="00742794" w:rsidRDefault="008423E4" w:rsidP="0094510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71DA" w14:paraId="67635E65" w14:textId="77777777" w:rsidTr="00345119">
        <w:tc>
          <w:tcPr>
            <w:tcW w:w="9576" w:type="dxa"/>
          </w:tcPr>
          <w:p w14:paraId="27F46F6D" w14:textId="35610CCD" w:rsidR="008423E4" w:rsidRPr="00861995" w:rsidRDefault="002B239C" w:rsidP="00945106">
            <w:pPr>
              <w:jc w:val="right"/>
            </w:pPr>
            <w:r>
              <w:t>H.B. 351</w:t>
            </w:r>
          </w:p>
        </w:tc>
      </w:tr>
      <w:tr w:rsidR="003671DA" w14:paraId="4985B167" w14:textId="77777777" w:rsidTr="00345119">
        <w:tc>
          <w:tcPr>
            <w:tcW w:w="9576" w:type="dxa"/>
          </w:tcPr>
          <w:p w14:paraId="6A293290" w14:textId="2F971460" w:rsidR="008423E4" w:rsidRPr="00861995" w:rsidRDefault="002B239C" w:rsidP="00945106">
            <w:pPr>
              <w:jc w:val="right"/>
            </w:pPr>
            <w:r>
              <w:t xml:space="preserve">By: </w:t>
            </w:r>
            <w:r w:rsidR="0043545E">
              <w:t>Bell, Cecil</w:t>
            </w:r>
          </w:p>
        </w:tc>
      </w:tr>
      <w:tr w:rsidR="003671DA" w14:paraId="23D833A7" w14:textId="77777777" w:rsidTr="00345119">
        <w:tc>
          <w:tcPr>
            <w:tcW w:w="9576" w:type="dxa"/>
          </w:tcPr>
          <w:p w14:paraId="28F39642" w14:textId="13CCDB1E" w:rsidR="008423E4" w:rsidRPr="00861995" w:rsidRDefault="002B239C" w:rsidP="00945106">
            <w:pPr>
              <w:jc w:val="right"/>
            </w:pPr>
            <w:r>
              <w:t>Insurance</w:t>
            </w:r>
          </w:p>
        </w:tc>
      </w:tr>
      <w:tr w:rsidR="003671DA" w14:paraId="60B8BAE3" w14:textId="77777777" w:rsidTr="00345119">
        <w:tc>
          <w:tcPr>
            <w:tcW w:w="9576" w:type="dxa"/>
          </w:tcPr>
          <w:p w14:paraId="384240B2" w14:textId="6BAB9F91" w:rsidR="008423E4" w:rsidRDefault="002B239C" w:rsidP="00945106">
            <w:pPr>
              <w:jc w:val="right"/>
            </w:pPr>
            <w:r>
              <w:t>Committee Report (Unamended)</w:t>
            </w:r>
          </w:p>
        </w:tc>
      </w:tr>
    </w:tbl>
    <w:p w14:paraId="29E68895" w14:textId="77777777" w:rsidR="008423E4" w:rsidRDefault="008423E4" w:rsidP="00945106">
      <w:pPr>
        <w:tabs>
          <w:tab w:val="right" w:pos="9360"/>
        </w:tabs>
      </w:pPr>
    </w:p>
    <w:p w14:paraId="0C12881C" w14:textId="77777777" w:rsidR="008423E4" w:rsidRDefault="008423E4" w:rsidP="00945106"/>
    <w:p w14:paraId="3DFC54B1" w14:textId="77777777" w:rsidR="008423E4" w:rsidRDefault="008423E4" w:rsidP="0094510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71DA" w14:paraId="0B5C10A2" w14:textId="77777777" w:rsidTr="00345119">
        <w:tc>
          <w:tcPr>
            <w:tcW w:w="9576" w:type="dxa"/>
          </w:tcPr>
          <w:p w14:paraId="1449DED3" w14:textId="77777777" w:rsidR="008423E4" w:rsidRPr="00A8133F" w:rsidRDefault="002B239C" w:rsidP="0094510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F5F3EE" w14:textId="77777777" w:rsidR="008423E4" w:rsidRDefault="008423E4" w:rsidP="00945106"/>
          <w:p w14:paraId="60D4A5A2" w14:textId="77777777" w:rsidR="008423E4" w:rsidRDefault="002B239C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481E0A">
              <w:t xml:space="preserve">n arrangement </w:t>
            </w:r>
            <w:r>
              <w:t>under which an employe</w:t>
            </w:r>
            <w:r w:rsidR="004549C9">
              <w:t>r</w:t>
            </w:r>
            <w:r>
              <w:t xml:space="preserve"> can offer both </w:t>
            </w:r>
            <w:r w:rsidR="00CD2C16" w:rsidRPr="00CD2C16">
              <w:t xml:space="preserve">workers' compensation insurance </w:t>
            </w:r>
            <w:r>
              <w:t>and</w:t>
            </w:r>
            <w:r w:rsidR="00CD2C16" w:rsidRPr="00CD2C16">
              <w:t xml:space="preserve"> a workers' health insurance policy </w:t>
            </w:r>
            <w:r w:rsidR="004549C9">
              <w:t>would allow employees and their dependents better access to health care</w:t>
            </w:r>
            <w:r w:rsidR="00CD2C16" w:rsidRPr="00CD2C16">
              <w:t>.</w:t>
            </w:r>
            <w:r w:rsidR="00CD2C16">
              <w:t xml:space="preserve"> </w:t>
            </w:r>
            <w:r w:rsidR="00CD2C16" w:rsidRPr="00CD2C16">
              <w:t>H</w:t>
            </w:r>
            <w:r w:rsidR="004549C9">
              <w:t>.</w:t>
            </w:r>
            <w:r w:rsidR="00CD2C16" w:rsidRPr="00CD2C16">
              <w:t>B</w:t>
            </w:r>
            <w:r w:rsidR="004549C9">
              <w:t>.</w:t>
            </w:r>
            <w:r w:rsidR="00CD2C16" w:rsidRPr="00CD2C16">
              <w:t xml:space="preserve"> 351 </w:t>
            </w:r>
            <w:r w:rsidR="004549C9">
              <w:t xml:space="preserve">seeks to </w:t>
            </w:r>
            <w:r w:rsidR="00C70F91">
              <w:t xml:space="preserve">provide for </w:t>
            </w:r>
            <w:r w:rsidR="00CD2C16" w:rsidRPr="00CD2C16">
              <w:t>a workers</w:t>
            </w:r>
            <w:r w:rsidR="00C70F91">
              <w:t>'</w:t>
            </w:r>
            <w:r w:rsidR="00CD2C16" w:rsidRPr="00CD2C16">
              <w:t xml:space="preserve"> compensation insurance company </w:t>
            </w:r>
            <w:r w:rsidR="00C70F91">
              <w:t>to</w:t>
            </w:r>
            <w:r w:rsidR="00C70F91" w:rsidRPr="00CD2C16">
              <w:t xml:space="preserve"> </w:t>
            </w:r>
            <w:r w:rsidR="00CD2C16" w:rsidRPr="00CD2C16">
              <w:t>contract with an accident and health insurance company to offer to employers a workers</w:t>
            </w:r>
            <w:r w:rsidR="00B60EC3">
              <w:t>'</w:t>
            </w:r>
            <w:r w:rsidR="00CD2C16" w:rsidRPr="00CD2C16">
              <w:t xml:space="preserve"> compensation insurance policy and a group accident and health insurance policy together in one packaged plan</w:t>
            </w:r>
            <w:r w:rsidR="00B60EC3">
              <w:t>.</w:t>
            </w:r>
            <w:r w:rsidR="00CD2C16" w:rsidRPr="00CD2C16">
              <w:t xml:space="preserve"> </w:t>
            </w:r>
          </w:p>
          <w:p w14:paraId="455C920F" w14:textId="66E4566E" w:rsidR="002F4170" w:rsidRPr="00E26B13" w:rsidRDefault="002F4170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671DA" w14:paraId="6667E4CF" w14:textId="77777777" w:rsidTr="00345119">
        <w:tc>
          <w:tcPr>
            <w:tcW w:w="9576" w:type="dxa"/>
          </w:tcPr>
          <w:p w14:paraId="65F6DFC1" w14:textId="77777777" w:rsidR="0017725B" w:rsidRDefault="002B239C" w:rsidP="009451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F2E533" w14:textId="77777777" w:rsidR="0017725B" w:rsidRDefault="0017725B" w:rsidP="00945106">
            <w:pPr>
              <w:rPr>
                <w:b/>
                <w:u w:val="single"/>
              </w:rPr>
            </w:pPr>
          </w:p>
          <w:p w14:paraId="6393E730" w14:textId="3C190B42" w:rsidR="00EE343C" w:rsidRPr="00EE343C" w:rsidRDefault="002B239C" w:rsidP="00945106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048E693C" w14:textId="77777777" w:rsidR="0017725B" w:rsidRPr="0017725B" w:rsidRDefault="0017725B" w:rsidP="00945106">
            <w:pPr>
              <w:rPr>
                <w:b/>
                <w:u w:val="single"/>
              </w:rPr>
            </w:pPr>
          </w:p>
        </w:tc>
      </w:tr>
      <w:tr w:rsidR="003671DA" w14:paraId="33EB6FA9" w14:textId="77777777" w:rsidTr="00345119">
        <w:tc>
          <w:tcPr>
            <w:tcW w:w="9576" w:type="dxa"/>
          </w:tcPr>
          <w:p w14:paraId="3AC1B403" w14:textId="77777777" w:rsidR="008423E4" w:rsidRPr="00A8133F" w:rsidRDefault="002B239C" w:rsidP="0094510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23B6A0" w14:textId="77777777" w:rsidR="008423E4" w:rsidRDefault="008423E4" w:rsidP="00945106"/>
          <w:p w14:paraId="7A09855D" w14:textId="1E13C069" w:rsidR="00EE343C" w:rsidRDefault="002B239C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</w:t>
            </w:r>
            <w:r>
              <w:t>ority is expressly granted to the commissioner of insurance in SECTION 1 of this bill.</w:t>
            </w:r>
          </w:p>
          <w:p w14:paraId="03F39D6F" w14:textId="77777777" w:rsidR="008423E4" w:rsidRPr="00E21FDC" w:rsidRDefault="008423E4" w:rsidP="00945106">
            <w:pPr>
              <w:rPr>
                <w:b/>
              </w:rPr>
            </w:pPr>
          </w:p>
        </w:tc>
      </w:tr>
      <w:tr w:rsidR="003671DA" w14:paraId="661812BD" w14:textId="77777777" w:rsidTr="00345119">
        <w:tc>
          <w:tcPr>
            <w:tcW w:w="9576" w:type="dxa"/>
          </w:tcPr>
          <w:p w14:paraId="6A27730B" w14:textId="77777777" w:rsidR="008423E4" w:rsidRPr="00A8133F" w:rsidRDefault="002B239C" w:rsidP="0094510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75663C" w14:textId="77777777" w:rsidR="008423E4" w:rsidRDefault="008423E4" w:rsidP="00945106"/>
          <w:p w14:paraId="6EE9FB69" w14:textId="1C4D7C41" w:rsidR="00427128" w:rsidRDefault="002B239C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351 amends the Insurance Code to authorize </w:t>
            </w:r>
            <w:r w:rsidRPr="005732DF">
              <w:t>a</w:t>
            </w:r>
            <w:r w:rsidR="00911B2A" w:rsidRPr="00911B2A">
              <w:t xml:space="preserve"> workers' compensation insurance company</w:t>
            </w:r>
            <w:r w:rsidR="00206253">
              <w:t xml:space="preserve"> to </w:t>
            </w:r>
            <w:r w:rsidR="00206253" w:rsidRPr="00206253">
              <w:t>contract with an accident and health insurance company to offer to employers a workers' compensation insurance policy and a group accident and health insurance policy together in one packaged plan</w:t>
            </w:r>
            <w:r w:rsidR="00F67E35">
              <w:t xml:space="preserve"> under which </w:t>
            </w:r>
            <w:r w:rsidR="00F67E35" w:rsidRPr="00F67E35">
              <w:t xml:space="preserve">employees and their dependents are eligible for major medical expense coverage and employees are covered </w:t>
            </w:r>
            <w:r w:rsidR="00F67E35" w:rsidRPr="00D13211">
              <w:t xml:space="preserve">for medical benefits </w:t>
            </w:r>
            <w:r w:rsidR="00F67E35" w:rsidRPr="00D82F48">
              <w:t>and other benefits</w:t>
            </w:r>
            <w:r w:rsidR="00602D9B" w:rsidRPr="00D82F48">
              <w:t xml:space="preserve"> required under the Texas Workers' Compensation Act</w:t>
            </w:r>
            <w:r w:rsidR="00131F6F" w:rsidRPr="00D82F48">
              <w:t>.</w:t>
            </w:r>
            <w:r w:rsidR="00131F6F">
              <w:t xml:space="preserve"> </w:t>
            </w:r>
            <w:r w:rsidR="00FE2298">
              <w:t>With regard to the provision of such packaged plans, t</w:t>
            </w:r>
            <w:r w:rsidR="007817EC" w:rsidRPr="00FE2298">
              <w:t xml:space="preserve">he </w:t>
            </w:r>
            <w:r w:rsidR="00E5100B" w:rsidRPr="00FE2298">
              <w:t xml:space="preserve">bill </w:t>
            </w:r>
            <w:r w:rsidR="00FE2298">
              <w:t>does</w:t>
            </w:r>
            <w:r w:rsidR="002D398B" w:rsidRPr="00FE2298">
              <w:t xml:space="preserve"> the following</w:t>
            </w:r>
            <w:r w:rsidR="00CF2A62" w:rsidRPr="00FE2298">
              <w:t>:</w:t>
            </w:r>
          </w:p>
          <w:p w14:paraId="374E07F7" w14:textId="6F15D01E" w:rsidR="009A4899" w:rsidRDefault="002B239C" w:rsidP="0094510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F66832">
              <w:t xml:space="preserve">requires </w:t>
            </w:r>
            <w:r>
              <w:t xml:space="preserve">a group accident and health insurance </w:t>
            </w:r>
            <w:r w:rsidRPr="00F66832">
              <w:t xml:space="preserve">policy </w:t>
            </w:r>
            <w:r>
              <w:t xml:space="preserve">offered by a workers' compensation insurance company </w:t>
            </w:r>
            <w:r w:rsidRPr="00F66832">
              <w:t>to be provided by an entity that is authorized to write group accident and health insurance and is separate from the company;</w:t>
            </w:r>
          </w:p>
          <w:p w14:paraId="0C1000BC" w14:textId="615E2CA6" w:rsidR="00CF2A62" w:rsidRDefault="002B239C" w:rsidP="0094510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authorizes </w:t>
            </w:r>
            <w:r w:rsidRPr="00CF2A62">
              <w:t>a workers' compensati</w:t>
            </w:r>
            <w:r w:rsidRPr="00CF2A62">
              <w:t>on insurance company that offers a packaged plan</w:t>
            </w:r>
            <w:r>
              <w:t xml:space="preserve"> to </w:t>
            </w:r>
            <w:r w:rsidRPr="00CF2A62">
              <w:t>allow for medical benefits required</w:t>
            </w:r>
            <w:r>
              <w:t xml:space="preserve"> under the </w:t>
            </w:r>
            <w:r w:rsidRPr="009A4899">
              <w:t>Texas Workers' Compensation A</w:t>
            </w:r>
            <w:r w:rsidRPr="00CF2A62">
              <w:t>ct</w:t>
            </w:r>
            <w:r>
              <w:t xml:space="preserve"> </w:t>
            </w:r>
            <w:r w:rsidRPr="00CF2A62">
              <w:t>to be provided to employees through the group accident and health insurance policy in the plan</w:t>
            </w:r>
            <w:r>
              <w:t>;</w:t>
            </w:r>
          </w:p>
          <w:p w14:paraId="040813A2" w14:textId="5606180B" w:rsidR="00046F61" w:rsidRDefault="002B239C" w:rsidP="0094510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E658FB">
              <w:t>larifies</w:t>
            </w:r>
            <w:r>
              <w:t xml:space="preserve"> </w:t>
            </w:r>
            <w:r w:rsidR="00880355">
              <w:t>that a package</w:t>
            </w:r>
            <w:r w:rsidR="00353510">
              <w:t>d</w:t>
            </w:r>
            <w:r w:rsidR="00880355">
              <w:t xml:space="preserve"> plan </w:t>
            </w:r>
            <w:r w:rsidR="00E658FB">
              <w:t xml:space="preserve">must </w:t>
            </w:r>
            <w:r w:rsidR="00880355">
              <w:t xml:space="preserve">require </w:t>
            </w:r>
            <w:r w:rsidR="00E658FB" w:rsidRPr="0002696C">
              <w:t>non</w:t>
            </w:r>
            <w:r w:rsidR="00880355" w:rsidRPr="0002696C">
              <w:t>medical benefits</w:t>
            </w:r>
            <w:r w:rsidR="00880355" w:rsidRPr="00880355">
              <w:t xml:space="preserve"> </w:t>
            </w:r>
            <w:r w:rsidR="00E658FB">
              <w:t>related to</w:t>
            </w:r>
            <w:r w:rsidR="00E658FB" w:rsidRPr="00880355">
              <w:t xml:space="preserve"> </w:t>
            </w:r>
            <w:r w:rsidR="00880355" w:rsidRPr="00880355">
              <w:t xml:space="preserve">a compensable injury </w:t>
            </w:r>
            <w:r w:rsidR="00E658FB">
              <w:t xml:space="preserve">to be </w:t>
            </w:r>
            <w:r w:rsidR="00880355" w:rsidRPr="00880355">
              <w:t xml:space="preserve">provided </w:t>
            </w:r>
            <w:r w:rsidR="00E658FB" w:rsidRPr="00E658FB">
              <w:t>exclusively through the workers' compensation insurance policy in the plan</w:t>
            </w:r>
            <w:r w:rsidR="0002696C">
              <w:t xml:space="preserve"> and that</w:t>
            </w:r>
            <w:r w:rsidR="00E658FB">
              <w:t xml:space="preserve"> </w:t>
            </w:r>
            <w:r w:rsidRPr="0002696C">
              <w:t xml:space="preserve">medical </w:t>
            </w:r>
            <w:r w:rsidR="00880355" w:rsidRPr="0002696C">
              <w:t xml:space="preserve">benefits </w:t>
            </w:r>
            <w:r w:rsidRPr="0002696C">
              <w:t>for</w:t>
            </w:r>
            <w:r w:rsidR="00880355" w:rsidRPr="0002696C">
              <w:t xml:space="preserve"> a compensable injury</w:t>
            </w:r>
            <w:r w:rsidRPr="0002696C">
              <w:t xml:space="preserve"> </w:t>
            </w:r>
            <w:r w:rsidR="007C03C7" w:rsidRPr="0002696C">
              <w:t xml:space="preserve">provided through a group accident and health insurance policy </w:t>
            </w:r>
            <w:r w:rsidRPr="0002696C">
              <w:t>continue to be governed by the Texas Workers' Compensation Act and the Workers' Compensation Health Care Network Act;</w:t>
            </w:r>
            <w:r w:rsidR="00BE2AD0">
              <w:t xml:space="preserve"> </w:t>
            </w:r>
          </w:p>
          <w:p w14:paraId="2EA4E7FF" w14:textId="1022E115" w:rsidR="00046F61" w:rsidRDefault="002B239C" w:rsidP="0094510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prohibits a packaged plan from imposing </w:t>
            </w:r>
            <w:r w:rsidRPr="00BE2AD0">
              <w:t>cost-sharing requirements</w:t>
            </w:r>
            <w:r>
              <w:t xml:space="preserve"> </w:t>
            </w:r>
            <w:r w:rsidRPr="00BE2AD0">
              <w:t>for workers' compensation medical benefits that are covere</w:t>
            </w:r>
            <w:r w:rsidRPr="00BE2AD0">
              <w:t>d under the group accident and health insurance policy</w:t>
            </w:r>
            <w:r w:rsidR="00353510">
              <w:t xml:space="preserve"> </w:t>
            </w:r>
            <w:r w:rsidR="00353510" w:rsidRPr="00FE2298">
              <w:t xml:space="preserve">in </w:t>
            </w:r>
            <w:r w:rsidR="00FE2298">
              <w:t>the</w:t>
            </w:r>
            <w:r w:rsidR="00353510" w:rsidRPr="00FE2298">
              <w:t xml:space="preserve"> plan</w:t>
            </w:r>
            <w:r>
              <w:t>;</w:t>
            </w:r>
          </w:p>
          <w:p w14:paraId="1E0220FC" w14:textId="08320CF1" w:rsidR="00046F61" w:rsidRDefault="002B239C" w:rsidP="0094510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employee contributions to </w:t>
            </w:r>
            <w:r w:rsidRPr="00046F61">
              <w:t>premiums for group accident and health coverage provided under a packaged plan</w:t>
            </w:r>
            <w:r>
              <w:t xml:space="preserve"> to exclude </w:t>
            </w:r>
            <w:r w:rsidRPr="00046F61">
              <w:t xml:space="preserve">any portion of the premiums allocated to the provision of </w:t>
            </w:r>
            <w:r w:rsidRPr="00046F61">
              <w:t>workers' compensation medical benefits</w:t>
            </w:r>
            <w:r>
              <w:t>;</w:t>
            </w:r>
            <w:r w:rsidR="00E46E0A">
              <w:t xml:space="preserve"> </w:t>
            </w:r>
          </w:p>
          <w:p w14:paraId="0DC72C66" w14:textId="40198916" w:rsidR="00686A13" w:rsidRDefault="002B239C" w:rsidP="0094510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a</w:t>
            </w:r>
            <w:r w:rsidRPr="009D7D1E">
              <w:t xml:space="preserve"> packaged plan</w:t>
            </w:r>
            <w:r>
              <w:t xml:space="preserve"> to provide that </w:t>
            </w:r>
            <w:r w:rsidRPr="009D7D1E">
              <w:t xml:space="preserve">medical examinations </w:t>
            </w:r>
            <w:r w:rsidRPr="0002696C">
              <w:t xml:space="preserve">required </w:t>
            </w:r>
            <w:r w:rsidR="00E46E0A" w:rsidRPr="0002696C">
              <w:t>for the purposes of workers' compensation benefits</w:t>
            </w:r>
            <w:r w:rsidRPr="009D7D1E">
              <w:t xml:space="preserve"> are covered exclusively under the </w:t>
            </w:r>
            <w:r w:rsidR="00E46E0A" w:rsidRPr="00E46E0A">
              <w:t>workers' compensation insurance</w:t>
            </w:r>
            <w:r w:rsidR="00E46E0A">
              <w:t xml:space="preserve"> </w:t>
            </w:r>
            <w:r w:rsidRPr="009D7D1E">
              <w:t>policy</w:t>
            </w:r>
            <w:r w:rsidR="00E46E0A">
              <w:t xml:space="preserve"> </w:t>
            </w:r>
            <w:r w:rsidR="00E46E0A" w:rsidRPr="00E46E0A">
              <w:t>included in the plan</w:t>
            </w:r>
            <w:r>
              <w:t>; and</w:t>
            </w:r>
          </w:p>
          <w:p w14:paraId="2BC4ADD8" w14:textId="3CADE88C" w:rsidR="00871DA0" w:rsidRDefault="002B239C" w:rsidP="0094510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establishes that a</w:t>
            </w:r>
            <w:r w:rsidRPr="00871DA0">
              <w:t xml:space="preserve"> workers' compensation insurance company that offers a packaged plan</w:t>
            </w:r>
            <w:r w:rsidR="00353510">
              <w:t xml:space="preserve"> </w:t>
            </w:r>
            <w:r w:rsidR="00FE2298">
              <w:t>allowing</w:t>
            </w:r>
            <w:r w:rsidR="00353510">
              <w:t xml:space="preserve"> for workers' compensation medical benefits to be provided through the group accident and health insurance policy in the plan</w:t>
            </w:r>
            <w:r>
              <w:t xml:space="preserve"> </w:t>
            </w:r>
            <w:r w:rsidRPr="00871DA0">
              <w:t xml:space="preserve">continues to be liable for </w:t>
            </w:r>
            <w:r w:rsidRPr="00D13211">
              <w:t>th</w:t>
            </w:r>
            <w:r w:rsidRPr="00D13211">
              <w:t xml:space="preserve">ose workers' compensation obligations </w:t>
            </w:r>
            <w:r w:rsidR="000B7B5C" w:rsidRPr="00D13211">
              <w:t>provided through that policy</w:t>
            </w:r>
            <w:r w:rsidR="000B7B5C">
              <w:t xml:space="preserve"> </w:t>
            </w:r>
            <w:r w:rsidRPr="00871DA0">
              <w:t xml:space="preserve">if the company issuing the </w:t>
            </w:r>
            <w:r>
              <w:t xml:space="preserve">policy </w:t>
            </w:r>
            <w:r w:rsidRPr="00871DA0">
              <w:t>becomes insolvent or if the group accident and health coverage terminates.</w:t>
            </w:r>
          </w:p>
          <w:p w14:paraId="542BDEAE" w14:textId="77777777" w:rsidR="00871DA0" w:rsidRDefault="00871DA0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FE2812" w14:textId="3D3C2C6F" w:rsidR="00EB6BEC" w:rsidRDefault="002B239C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B7B5C">
              <w:t>H.B. 351</w:t>
            </w:r>
            <w:r w:rsidR="00871DA0" w:rsidRPr="000B7B5C">
              <w:t xml:space="preserve"> </w:t>
            </w:r>
            <w:r w:rsidR="003256BD">
              <w:t xml:space="preserve">prohibits its provisions from being construed to relieve a workers' compensation insurance company from any obligation to provide required workers' compensation benefits. The bill further </w:t>
            </w:r>
            <w:r w:rsidR="001D3277" w:rsidRPr="000B7B5C">
              <w:t>clarifies</w:t>
            </w:r>
            <w:r w:rsidR="00BF5B36" w:rsidRPr="000B7B5C">
              <w:t xml:space="preserve"> that </w:t>
            </w:r>
            <w:r w:rsidR="00602D9B" w:rsidRPr="000B7B5C">
              <w:t>it</w:t>
            </w:r>
            <w:r w:rsidR="00D82F48">
              <w:t xml:space="preserve"> does not do </w:t>
            </w:r>
            <w:r w:rsidR="00BF5B36" w:rsidRPr="000B7B5C">
              <w:t>the following:</w:t>
            </w:r>
          </w:p>
          <w:p w14:paraId="0F98FA3C" w14:textId="25EC7D9D" w:rsidR="00BF5B36" w:rsidRDefault="002B239C" w:rsidP="00945106">
            <w:pPr>
              <w:pStyle w:val="Header"/>
              <w:numPr>
                <w:ilvl w:val="0"/>
                <w:numId w:val="1"/>
              </w:numPr>
              <w:jc w:val="both"/>
            </w:pPr>
            <w:r w:rsidRPr="00EB6BEC">
              <w:t>authorize a workers' compensation insurance company to underwrite group accident and health i</w:t>
            </w:r>
            <w:r w:rsidRPr="00EB6BEC">
              <w:t>nsurance policies</w:t>
            </w:r>
            <w:r w:rsidR="00785633">
              <w:t>;</w:t>
            </w:r>
          </w:p>
          <w:p w14:paraId="4FBC3B53" w14:textId="7C9BBBEF" w:rsidR="006F1F2D" w:rsidRDefault="002B239C" w:rsidP="0094510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relieve the Texas Property and Casualty Insurance Guaranty Association of any obligations with respect to a workers' compensation insurance company offering a packaged plan</w:t>
            </w:r>
            <w:r w:rsidR="00EB6BEC">
              <w:t>;</w:t>
            </w:r>
            <w:r w:rsidR="001D3277">
              <w:t xml:space="preserve"> or</w:t>
            </w:r>
          </w:p>
          <w:p w14:paraId="2E3F9F50" w14:textId="1ACC20BF" w:rsidR="001D3277" w:rsidRDefault="002B239C" w:rsidP="0094510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785633">
              <w:t>affect the exclusivity</w:t>
            </w:r>
            <w:r>
              <w:t xml:space="preserve"> </w:t>
            </w:r>
            <w:r w:rsidRPr="00785633">
              <w:t xml:space="preserve">of the remedy of recovery of </w:t>
            </w:r>
            <w:r w:rsidRPr="00785633">
              <w:t>workers' compensation benefits for an employee covered by a packaged plan or a legal beneficiary against the employer or an agent or employee of the employer for the death of or a work-related injury sustained by the employee.</w:t>
            </w:r>
          </w:p>
          <w:p w14:paraId="46403452" w14:textId="5762DA3C" w:rsidR="00871DA0" w:rsidRDefault="00871DA0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65B128E" w14:textId="66724B86" w:rsidR="00871DA0" w:rsidRDefault="002B239C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351</w:t>
            </w:r>
            <w:r w:rsidR="008002EE">
              <w:t xml:space="preserve"> prohibits </w:t>
            </w:r>
            <w:r w:rsidR="008002EE" w:rsidRPr="008002EE">
              <w:t>a health care provider</w:t>
            </w:r>
            <w:r w:rsidR="008002EE">
              <w:t xml:space="preserve"> </w:t>
            </w:r>
            <w:r>
              <w:t>from pursuing</w:t>
            </w:r>
            <w:r w:rsidRPr="008002EE">
              <w:t xml:space="preserve"> </w:t>
            </w:r>
            <w:r w:rsidR="008002EE" w:rsidRPr="008002EE">
              <w:t>a private claim against a workers' compensation claimant covered by a packaged plan</w:t>
            </w:r>
            <w:r w:rsidR="00912A31">
              <w:t xml:space="preserve"> for all or part of the cost of a health care service provided by the provider</w:t>
            </w:r>
            <w:r w:rsidRPr="00D82F48">
              <w:t>, subject to certain exceptions</w:t>
            </w:r>
            <w:r>
              <w:t xml:space="preserve">. A </w:t>
            </w:r>
            <w:r w:rsidR="00B9515F" w:rsidRPr="00B9515F">
              <w:t xml:space="preserve">health care provider </w:t>
            </w:r>
            <w:r w:rsidR="00B9515F">
              <w:t xml:space="preserve">who violates </w:t>
            </w:r>
            <w:r>
              <w:t>the prohibition</w:t>
            </w:r>
            <w:r w:rsidR="008002EE">
              <w:t xml:space="preserve"> </w:t>
            </w:r>
            <w:r w:rsidR="00B9515F">
              <w:t>commits</w:t>
            </w:r>
            <w:r>
              <w:t xml:space="preserve"> </w:t>
            </w:r>
            <w:r w:rsidR="008002EE" w:rsidRPr="008002EE">
              <w:t>an administrative violation</w:t>
            </w:r>
            <w:r>
              <w:t xml:space="preserve"> under the </w:t>
            </w:r>
            <w:r w:rsidRPr="006C6027">
              <w:t>Texas Workers' Compensation Act</w:t>
            </w:r>
            <w:r w:rsidR="00B9515F">
              <w:t>.</w:t>
            </w:r>
          </w:p>
          <w:p w14:paraId="17FF17DA" w14:textId="3042C91C" w:rsidR="008002EE" w:rsidRDefault="008002EE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58EAC0C" w14:textId="789DC5A8" w:rsidR="004455E2" w:rsidRPr="009C36CD" w:rsidRDefault="002B239C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351</w:t>
            </w:r>
            <w:r w:rsidR="00EE343C">
              <w:t xml:space="preserve"> requires the </w:t>
            </w:r>
            <w:r w:rsidR="00EE343C" w:rsidRPr="00EE343C">
              <w:t>commissioner of insurance</w:t>
            </w:r>
            <w:r w:rsidR="00EE343C">
              <w:t xml:space="preserve"> to adopt rules </w:t>
            </w:r>
            <w:r w:rsidR="00EE343C" w:rsidRPr="00EE343C">
              <w:t>as necessary to implement</w:t>
            </w:r>
            <w:r w:rsidR="00EE343C">
              <w:t xml:space="preserve"> </w:t>
            </w:r>
            <w:r w:rsidR="00321629">
              <w:t xml:space="preserve">the bill's </w:t>
            </w:r>
            <w:r w:rsidR="00EE343C" w:rsidRPr="00321629">
              <w:t>provision</w:t>
            </w:r>
            <w:r w:rsidR="00321629">
              <w:t>s</w:t>
            </w:r>
            <w:r>
              <w:t>,</w:t>
            </w:r>
            <w:r w:rsidR="00EE343C">
              <w:t xml:space="preserve"> including </w:t>
            </w:r>
            <w:r>
              <w:t xml:space="preserve">rules relating to </w:t>
            </w:r>
            <w:r w:rsidR="00EE343C" w:rsidRPr="00EE343C">
              <w:t xml:space="preserve">establishing additional solvency requirements for </w:t>
            </w:r>
            <w:r w:rsidR="00EE343C" w:rsidRPr="00D13211">
              <w:t xml:space="preserve">an </w:t>
            </w:r>
            <w:r w:rsidRPr="00D13211">
              <w:t xml:space="preserve">applicable </w:t>
            </w:r>
            <w:r w:rsidR="00EE343C" w:rsidRPr="00D13211">
              <w:t>insurance company</w:t>
            </w:r>
            <w:r w:rsidR="00EE343C" w:rsidRPr="00EE343C">
              <w:t xml:space="preserve"> </w:t>
            </w:r>
            <w:r w:rsidR="00EE343C">
              <w:t xml:space="preserve">and </w:t>
            </w:r>
            <w:r w:rsidR="00EE343C" w:rsidRPr="00EE343C">
              <w:t xml:space="preserve">modifying </w:t>
            </w:r>
            <w:r w:rsidR="00EE343C" w:rsidRPr="00321629">
              <w:t>any disclosures</w:t>
            </w:r>
            <w:r w:rsidR="00321629">
              <w:t xml:space="preserve"> otherwise required by statute</w:t>
            </w:r>
            <w:r w:rsidR="00EE343C" w:rsidRPr="00321629">
              <w:t xml:space="preserve"> regarding accident and health policies that are not workers' compensation</w:t>
            </w:r>
            <w:r w:rsidR="00321629">
              <w:t xml:space="preserve"> when the disclosures are provided in connection with a packaged plan</w:t>
            </w:r>
            <w:r w:rsidR="00EE343C" w:rsidRPr="00321629">
              <w:t>.</w:t>
            </w:r>
          </w:p>
          <w:p w14:paraId="021E7917" w14:textId="77777777" w:rsidR="008423E4" w:rsidRPr="00835628" w:rsidRDefault="008423E4" w:rsidP="00945106">
            <w:pPr>
              <w:rPr>
                <w:b/>
              </w:rPr>
            </w:pPr>
          </w:p>
        </w:tc>
      </w:tr>
      <w:tr w:rsidR="003671DA" w14:paraId="508A0C6B" w14:textId="77777777" w:rsidTr="00345119">
        <w:tc>
          <w:tcPr>
            <w:tcW w:w="9576" w:type="dxa"/>
          </w:tcPr>
          <w:p w14:paraId="4493BD05" w14:textId="77777777" w:rsidR="008423E4" w:rsidRPr="00A8133F" w:rsidRDefault="002B239C" w:rsidP="0094510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2C749EC" w14:textId="77777777" w:rsidR="008423E4" w:rsidRDefault="008423E4" w:rsidP="00945106"/>
          <w:p w14:paraId="626BCC28" w14:textId="1C7C99AD" w:rsidR="008423E4" w:rsidRPr="003624F2" w:rsidRDefault="002B239C" w:rsidP="00945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C840A3F" w14:textId="77777777" w:rsidR="008423E4" w:rsidRPr="00233FDB" w:rsidRDefault="008423E4" w:rsidP="00945106">
            <w:pPr>
              <w:rPr>
                <w:b/>
              </w:rPr>
            </w:pPr>
          </w:p>
        </w:tc>
      </w:tr>
    </w:tbl>
    <w:p w14:paraId="5B0B5689" w14:textId="77777777" w:rsidR="008423E4" w:rsidRPr="00BE0E75" w:rsidRDefault="008423E4" w:rsidP="00945106">
      <w:pPr>
        <w:jc w:val="both"/>
        <w:rPr>
          <w:rFonts w:ascii="Arial" w:hAnsi="Arial"/>
          <w:sz w:val="16"/>
          <w:szCs w:val="16"/>
        </w:rPr>
      </w:pPr>
    </w:p>
    <w:p w14:paraId="5D03B4A9" w14:textId="77777777" w:rsidR="004108C3" w:rsidRPr="008423E4" w:rsidRDefault="004108C3" w:rsidP="0094510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48B9" w14:textId="77777777" w:rsidR="00000000" w:rsidRDefault="002B239C">
      <w:r>
        <w:separator/>
      </w:r>
    </w:p>
  </w:endnote>
  <w:endnote w:type="continuationSeparator" w:id="0">
    <w:p w14:paraId="497FFB76" w14:textId="77777777" w:rsidR="00000000" w:rsidRDefault="002B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BAA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71DA" w14:paraId="452EC6B3" w14:textId="77777777" w:rsidTr="009C1E9A">
      <w:trPr>
        <w:cantSplit/>
      </w:trPr>
      <w:tc>
        <w:tcPr>
          <w:tcW w:w="0" w:type="pct"/>
        </w:tcPr>
        <w:p w14:paraId="2B12F1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BBCC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AF92A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9AE6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979B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71DA" w14:paraId="14EE974E" w14:textId="77777777" w:rsidTr="009C1E9A">
      <w:trPr>
        <w:cantSplit/>
      </w:trPr>
      <w:tc>
        <w:tcPr>
          <w:tcW w:w="0" w:type="pct"/>
        </w:tcPr>
        <w:p w14:paraId="2E898B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A8839B" w14:textId="77361695" w:rsidR="00EC379B" w:rsidRPr="009C1E9A" w:rsidRDefault="002B23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25010-D</w:t>
          </w:r>
        </w:p>
      </w:tc>
      <w:tc>
        <w:tcPr>
          <w:tcW w:w="2453" w:type="pct"/>
        </w:tcPr>
        <w:p w14:paraId="74CDC43F" w14:textId="733F678D" w:rsidR="00EC379B" w:rsidRDefault="002B23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934B7">
            <w:t>23.111.2005</w:t>
          </w:r>
          <w:r>
            <w:fldChar w:fldCharType="end"/>
          </w:r>
        </w:p>
      </w:tc>
    </w:tr>
    <w:tr w:rsidR="003671DA" w14:paraId="094A6FE3" w14:textId="77777777" w:rsidTr="009C1E9A">
      <w:trPr>
        <w:cantSplit/>
      </w:trPr>
      <w:tc>
        <w:tcPr>
          <w:tcW w:w="0" w:type="pct"/>
        </w:tcPr>
        <w:p w14:paraId="202F4CE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A5EAE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3231A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A6DB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71DA" w14:paraId="69B5820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B2FDFB" w14:textId="77777777" w:rsidR="00EC379B" w:rsidRDefault="002B23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8C647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49873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6A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C05A" w14:textId="77777777" w:rsidR="00000000" w:rsidRDefault="002B239C">
      <w:r>
        <w:separator/>
      </w:r>
    </w:p>
  </w:footnote>
  <w:footnote w:type="continuationSeparator" w:id="0">
    <w:p w14:paraId="41022C2A" w14:textId="77777777" w:rsidR="00000000" w:rsidRDefault="002B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683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E61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DB7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492"/>
    <w:multiLevelType w:val="hybridMultilevel"/>
    <w:tmpl w:val="7ADE366C"/>
    <w:lvl w:ilvl="0" w:tplc="4FA00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2A4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45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22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E9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01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2D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2B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8E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E11FC"/>
    <w:multiLevelType w:val="hybridMultilevel"/>
    <w:tmpl w:val="351AA932"/>
    <w:lvl w:ilvl="0" w:tplc="E19E1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80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6D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06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43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0C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CE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A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E1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4DE8"/>
    <w:multiLevelType w:val="hybridMultilevel"/>
    <w:tmpl w:val="1B9C7A48"/>
    <w:lvl w:ilvl="0" w:tplc="584CF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09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44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C8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A4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C4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E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F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A6C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96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F61"/>
    <w:rsid w:val="0004762E"/>
    <w:rsid w:val="000522C9"/>
    <w:rsid w:val="000532BD"/>
    <w:rsid w:val="000555E0"/>
    <w:rsid w:val="00055C12"/>
    <w:rsid w:val="000608B0"/>
    <w:rsid w:val="0006104C"/>
    <w:rsid w:val="00064BF2"/>
    <w:rsid w:val="000655F0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D9D"/>
    <w:rsid w:val="000A54E0"/>
    <w:rsid w:val="000A72C4"/>
    <w:rsid w:val="000B0F30"/>
    <w:rsid w:val="000B1486"/>
    <w:rsid w:val="000B3E61"/>
    <w:rsid w:val="000B54AF"/>
    <w:rsid w:val="000B6090"/>
    <w:rsid w:val="000B6FEE"/>
    <w:rsid w:val="000B7B5C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D37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F6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277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25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39C"/>
    <w:rsid w:val="002B26DD"/>
    <w:rsid w:val="002B2870"/>
    <w:rsid w:val="002B391B"/>
    <w:rsid w:val="002B5B42"/>
    <w:rsid w:val="002B6369"/>
    <w:rsid w:val="002B7BA7"/>
    <w:rsid w:val="002C1C17"/>
    <w:rsid w:val="002C3203"/>
    <w:rsid w:val="002C3B07"/>
    <w:rsid w:val="002C532B"/>
    <w:rsid w:val="002C5713"/>
    <w:rsid w:val="002D05CC"/>
    <w:rsid w:val="002D305A"/>
    <w:rsid w:val="002D398B"/>
    <w:rsid w:val="002E21B8"/>
    <w:rsid w:val="002E7DF9"/>
    <w:rsid w:val="002F097B"/>
    <w:rsid w:val="002F2147"/>
    <w:rsid w:val="002F3111"/>
    <w:rsid w:val="002F4170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629"/>
    <w:rsid w:val="00321F2F"/>
    <w:rsid w:val="003237F6"/>
    <w:rsid w:val="00324077"/>
    <w:rsid w:val="0032453B"/>
    <w:rsid w:val="00324868"/>
    <w:rsid w:val="003256BD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510"/>
    <w:rsid w:val="003536AA"/>
    <w:rsid w:val="003544CE"/>
    <w:rsid w:val="00355A98"/>
    <w:rsid w:val="00355D7E"/>
    <w:rsid w:val="003568DE"/>
    <w:rsid w:val="00357B96"/>
    <w:rsid w:val="00357CA1"/>
    <w:rsid w:val="00361FE9"/>
    <w:rsid w:val="003624F2"/>
    <w:rsid w:val="00363854"/>
    <w:rsid w:val="00364315"/>
    <w:rsid w:val="003643E2"/>
    <w:rsid w:val="003671DA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03"/>
    <w:rsid w:val="00422039"/>
    <w:rsid w:val="00423FBC"/>
    <w:rsid w:val="004241AA"/>
    <w:rsid w:val="0042422E"/>
    <w:rsid w:val="00427128"/>
    <w:rsid w:val="0043190E"/>
    <w:rsid w:val="004324E9"/>
    <w:rsid w:val="004350F3"/>
    <w:rsid w:val="0043545E"/>
    <w:rsid w:val="00436980"/>
    <w:rsid w:val="00441016"/>
    <w:rsid w:val="00441F2F"/>
    <w:rsid w:val="0044228B"/>
    <w:rsid w:val="004455E2"/>
    <w:rsid w:val="00447018"/>
    <w:rsid w:val="00450561"/>
    <w:rsid w:val="00450A40"/>
    <w:rsid w:val="00451D7C"/>
    <w:rsid w:val="00452FC3"/>
    <w:rsid w:val="00454715"/>
    <w:rsid w:val="004549C9"/>
    <w:rsid w:val="00455936"/>
    <w:rsid w:val="00455ACE"/>
    <w:rsid w:val="00461B69"/>
    <w:rsid w:val="00462B3D"/>
    <w:rsid w:val="00474927"/>
    <w:rsid w:val="00475913"/>
    <w:rsid w:val="00480080"/>
    <w:rsid w:val="00481E0A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00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B06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2DF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1C0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D9B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4E6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A13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414"/>
    <w:rsid w:val="006C4709"/>
    <w:rsid w:val="006C602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F2D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7EC"/>
    <w:rsid w:val="0078552A"/>
    <w:rsid w:val="00785633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3C7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2EE"/>
    <w:rsid w:val="00800C63"/>
    <w:rsid w:val="00802243"/>
    <w:rsid w:val="008023D4"/>
    <w:rsid w:val="00804124"/>
    <w:rsid w:val="00804353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DA0"/>
    <w:rsid w:val="008726E5"/>
    <w:rsid w:val="0087289E"/>
    <w:rsid w:val="00874C05"/>
    <w:rsid w:val="0087588B"/>
    <w:rsid w:val="0087680A"/>
    <w:rsid w:val="00880355"/>
    <w:rsid w:val="008806EB"/>
    <w:rsid w:val="008826F2"/>
    <w:rsid w:val="008845BA"/>
    <w:rsid w:val="00884AE3"/>
    <w:rsid w:val="00885203"/>
    <w:rsid w:val="008859CA"/>
    <w:rsid w:val="008861EE"/>
    <w:rsid w:val="00890B59"/>
    <w:rsid w:val="00891E83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B2A"/>
    <w:rsid w:val="00912A31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106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899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D1E"/>
    <w:rsid w:val="009E0272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9BF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3A7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503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89A"/>
    <w:rsid w:val="00B233BB"/>
    <w:rsid w:val="00B248CE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EC3"/>
    <w:rsid w:val="00B6104E"/>
    <w:rsid w:val="00B610C7"/>
    <w:rsid w:val="00B62106"/>
    <w:rsid w:val="00B6213F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15F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AD0"/>
    <w:rsid w:val="00BE3634"/>
    <w:rsid w:val="00BE3E30"/>
    <w:rsid w:val="00BE5274"/>
    <w:rsid w:val="00BE6E61"/>
    <w:rsid w:val="00BE71CD"/>
    <w:rsid w:val="00BE7748"/>
    <w:rsid w:val="00BE7BDA"/>
    <w:rsid w:val="00BF0548"/>
    <w:rsid w:val="00BF4949"/>
    <w:rsid w:val="00BF4D7C"/>
    <w:rsid w:val="00BF5085"/>
    <w:rsid w:val="00BF5B36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F9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4B7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C16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A6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211"/>
    <w:rsid w:val="00D22160"/>
    <w:rsid w:val="00D22172"/>
    <w:rsid w:val="00D2301B"/>
    <w:rsid w:val="00D239EE"/>
    <w:rsid w:val="00D30534"/>
    <w:rsid w:val="00D35728"/>
    <w:rsid w:val="00D359A7"/>
    <w:rsid w:val="00D37BCF"/>
    <w:rsid w:val="00D40898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F48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15B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E12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CC4"/>
    <w:rsid w:val="00E46E0A"/>
    <w:rsid w:val="00E500F1"/>
    <w:rsid w:val="00E5100B"/>
    <w:rsid w:val="00E51446"/>
    <w:rsid w:val="00E529C8"/>
    <w:rsid w:val="00E55DA0"/>
    <w:rsid w:val="00E56033"/>
    <w:rsid w:val="00E61159"/>
    <w:rsid w:val="00E625DA"/>
    <w:rsid w:val="00E634DC"/>
    <w:rsid w:val="00E658FB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BEC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43C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832"/>
    <w:rsid w:val="00F67981"/>
    <w:rsid w:val="00F67E35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298"/>
    <w:rsid w:val="00FE3E0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09BE12-02AE-407D-A5B9-D82E6FAD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6E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6E6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6E61"/>
    <w:rPr>
      <w:b/>
      <w:bCs/>
    </w:rPr>
  </w:style>
  <w:style w:type="paragraph" w:styleId="Revision">
    <w:name w:val="Revision"/>
    <w:hidden/>
    <w:uiPriority w:val="99"/>
    <w:semiHidden/>
    <w:rsid w:val="00602D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4470</Characters>
  <Application>Microsoft Office Word</Application>
  <DocSecurity>4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HB00351 (Committee Report (Unamended))</vt:lpstr>
    </vt:vector>
  </TitlesOfParts>
  <Company>State of Texas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25010</dc:subject>
  <dc:creator>State of Texas</dc:creator>
  <dc:description>HB 351 by Bell, Cecil-(H)Insurance</dc:description>
  <cp:lastModifiedBy>Matthew Lee</cp:lastModifiedBy>
  <cp:revision>2</cp:revision>
  <cp:lastPrinted>2003-11-26T17:21:00Z</cp:lastPrinted>
  <dcterms:created xsi:type="dcterms:W3CDTF">2023-04-25T01:18:00Z</dcterms:created>
  <dcterms:modified xsi:type="dcterms:W3CDTF">2023-04-25T01:18:00Z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23.111.2005</vt:lpwstr>
  </property>
</Properties>
</file>