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7491" w14:paraId="7B53F3C1" w14:textId="77777777" w:rsidTr="00345119">
        <w:tc>
          <w:tcPr>
            <w:tcW w:w="9576" w:type="dxa"/>
            <w:noWrap/>
          </w:tcPr>
          <w:p w14:paraId="337A7129" w14:textId="77777777" w:rsidR="008423E4" w:rsidRPr="0022177D" w:rsidRDefault="006B392F" w:rsidP="004E60D6">
            <w:pPr>
              <w:pStyle w:val="Heading1"/>
            </w:pPr>
            <w:r w:rsidRPr="00631897">
              <w:t>BILL ANALYSIS</w:t>
            </w:r>
          </w:p>
        </w:tc>
      </w:tr>
    </w:tbl>
    <w:p w14:paraId="5EBB265A" w14:textId="77777777" w:rsidR="008423E4" w:rsidRPr="0022177D" w:rsidRDefault="008423E4" w:rsidP="004E60D6">
      <w:pPr>
        <w:jc w:val="center"/>
      </w:pPr>
    </w:p>
    <w:p w14:paraId="4CBB329F" w14:textId="77777777" w:rsidR="008423E4" w:rsidRPr="00B31F0E" w:rsidRDefault="008423E4" w:rsidP="004E60D6"/>
    <w:p w14:paraId="4491D521" w14:textId="77777777" w:rsidR="008423E4" w:rsidRPr="00742794" w:rsidRDefault="008423E4" w:rsidP="004E60D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7491" w14:paraId="7F55E064" w14:textId="77777777" w:rsidTr="00345119">
        <w:tc>
          <w:tcPr>
            <w:tcW w:w="9576" w:type="dxa"/>
          </w:tcPr>
          <w:p w14:paraId="29AA24E3" w14:textId="1256AAD5" w:rsidR="008423E4" w:rsidRPr="00861995" w:rsidRDefault="006B392F" w:rsidP="004E60D6">
            <w:pPr>
              <w:jc w:val="right"/>
            </w:pPr>
            <w:r>
              <w:t>H.B. 400</w:t>
            </w:r>
          </w:p>
        </w:tc>
      </w:tr>
      <w:tr w:rsidR="006F7491" w14:paraId="1EA88653" w14:textId="77777777" w:rsidTr="00345119">
        <w:tc>
          <w:tcPr>
            <w:tcW w:w="9576" w:type="dxa"/>
          </w:tcPr>
          <w:p w14:paraId="1C8E6AEB" w14:textId="54FA0A38" w:rsidR="008423E4" w:rsidRPr="00861995" w:rsidRDefault="006B392F" w:rsidP="004E60D6">
            <w:pPr>
              <w:jc w:val="right"/>
            </w:pPr>
            <w:r>
              <w:t xml:space="preserve">By: </w:t>
            </w:r>
            <w:r w:rsidR="0055515C">
              <w:t>Klick</w:t>
            </w:r>
          </w:p>
        </w:tc>
      </w:tr>
      <w:tr w:rsidR="006F7491" w14:paraId="28D9DB14" w14:textId="77777777" w:rsidTr="00345119">
        <w:tc>
          <w:tcPr>
            <w:tcW w:w="9576" w:type="dxa"/>
          </w:tcPr>
          <w:p w14:paraId="4235E689" w14:textId="58A29547" w:rsidR="008423E4" w:rsidRPr="00861995" w:rsidRDefault="006B392F" w:rsidP="004E60D6">
            <w:pPr>
              <w:jc w:val="right"/>
            </w:pPr>
            <w:r>
              <w:t>Higher Education</w:t>
            </w:r>
          </w:p>
        </w:tc>
      </w:tr>
      <w:tr w:rsidR="006F7491" w14:paraId="18DE8452" w14:textId="77777777" w:rsidTr="00345119">
        <w:tc>
          <w:tcPr>
            <w:tcW w:w="9576" w:type="dxa"/>
          </w:tcPr>
          <w:p w14:paraId="48B668C7" w14:textId="77942D8C" w:rsidR="008423E4" w:rsidRDefault="006B392F" w:rsidP="004E60D6">
            <w:pPr>
              <w:jc w:val="right"/>
            </w:pPr>
            <w:r>
              <w:t>Committee Report (Unamended)</w:t>
            </w:r>
          </w:p>
        </w:tc>
      </w:tr>
    </w:tbl>
    <w:p w14:paraId="2B86F217" w14:textId="77777777" w:rsidR="008423E4" w:rsidRDefault="008423E4" w:rsidP="004E60D6">
      <w:pPr>
        <w:tabs>
          <w:tab w:val="right" w:pos="9360"/>
        </w:tabs>
      </w:pPr>
    </w:p>
    <w:p w14:paraId="73022DF3" w14:textId="77777777" w:rsidR="008423E4" w:rsidRDefault="008423E4" w:rsidP="004E60D6"/>
    <w:p w14:paraId="35A9BC10" w14:textId="77777777" w:rsidR="008423E4" w:rsidRDefault="008423E4" w:rsidP="004E60D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7491" w14:paraId="50226223" w14:textId="77777777" w:rsidTr="00345119">
        <w:tc>
          <w:tcPr>
            <w:tcW w:w="9576" w:type="dxa"/>
          </w:tcPr>
          <w:p w14:paraId="4BA08429" w14:textId="77777777" w:rsidR="008423E4" w:rsidRPr="00A8133F" w:rsidRDefault="006B392F" w:rsidP="004E60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FAE445" w14:textId="77777777" w:rsidR="008423E4" w:rsidRDefault="008423E4" w:rsidP="004E60D6"/>
          <w:p w14:paraId="2A6C8929" w14:textId="19937BD8" w:rsidR="007B2A28" w:rsidRDefault="006B392F" w:rsidP="004E60D6">
            <w:pPr>
              <w:pStyle w:val="Header"/>
              <w:jc w:val="both"/>
            </w:pPr>
            <w:r w:rsidRPr="00EC2C3D">
              <w:t xml:space="preserve">After the tragic events of the Robb Elementary Shooting, Speaker Phelan charged the Select Committee on Youth Health and Safety to </w:t>
            </w:r>
            <w:r w:rsidR="00156BEC">
              <w:t>s</w:t>
            </w:r>
            <w:r w:rsidRPr="00EC2C3D">
              <w:t>tudy the needs of the state related to mental health professionals, educators, school administrators, and related profession</w:t>
            </w:r>
            <w:r w:rsidRPr="00EC2C3D">
              <w:t xml:space="preserve">als overseeing youth mental health programs and the delivery of those mental health services. </w:t>
            </w:r>
            <w:r w:rsidR="0034520F">
              <w:t>T</w:t>
            </w:r>
            <w:r w:rsidRPr="00EC2C3D">
              <w:t xml:space="preserve">he </w:t>
            </w:r>
            <w:r w:rsidR="00156BEC">
              <w:t>c</w:t>
            </w:r>
            <w:r w:rsidRPr="00EC2C3D">
              <w:t xml:space="preserve">ommittee's </w:t>
            </w:r>
            <w:r w:rsidR="00156BEC">
              <w:t>i</w:t>
            </w:r>
            <w:r w:rsidRPr="00EC2C3D">
              <w:t xml:space="preserve">nterim </w:t>
            </w:r>
            <w:r w:rsidR="00156BEC">
              <w:t>r</w:t>
            </w:r>
            <w:r w:rsidRPr="00EC2C3D">
              <w:t xml:space="preserve">eport to the 88th Legislature </w:t>
            </w:r>
            <w:r w:rsidR="0034520F">
              <w:t>indicates</w:t>
            </w:r>
            <w:r w:rsidRPr="00EC2C3D">
              <w:t xml:space="preserve"> that there is a severe workforce shortage at every level within the mental and behavioral health </w:t>
            </w:r>
            <w:r w:rsidRPr="00EC2C3D">
              <w:t xml:space="preserve">system. </w:t>
            </w:r>
            <w:r w:rsidR="0034520F">
              <w:t>According to t</w:t>
            </w:r>
            <w:r w:rsidRPr="00EC2C3D">
              <w:t>he report, "</w:t>
            </w:r>
            <w:r w:rsidR="0034520F">
              <w:t>s</w:t>
            </w:r>
            <w:r w:rsidRPr="00EC2C3D">
              <w:t>ince 2020, over 2,000 patients have been turned away from inpatient treatment due to staff shortages</w:t>
            </w:r>
            <w:r w:rsidR="0069274C">
              <w:t>,</w:t>
            </w:r>
            <w:r w:rsidRPr="00EC2C3D">
              <w:t xml:space="preserve">" </w:t>
            </w:r>
            <w:r w:rsidR="0069274C">
              <w:t xml:space="preserve">and </w:t>
            </w:r>
            <w:r w:rsidRPr="00EC2C3D">
              <w:t>"15 million Texans live in an area that is classified as a Health Professional Shortage Area, defined as populatio</w:t>
            </w:r>
            <w:r w:rsidRPr="00EC2C3D">
              <w:t>n to provider ratio of 30,000 to 1."</w:t>
            </w:r>
            <w:r>
              <w:t xml:space="preserve"> </w:t>
            </w:r>
          </w:p>
          <w:p w14:paraId="3624EFE2" w14:textId="77777777" w:rsidR="007B2A28" w:rsidRDefault="007B2A28" w:rsidP="004E60D6">
            <w:pPr>
              <w:pStyle w:val="Header"/>
              <w:jc w:val="both"/>
            </w:pPr>
          </w:p>
          <w:p w14:paraId="1F1420EE" w14:textId="656147A9" w:rsidR="008423E4" w:rsidRDefault="006B392F" w:rsidP="004E60D6">
            <w:pPr>
              <w:pStyle w:val="Header"/>
              <w:jc w:val="both"/>
            </w:pPr>
            <w:r>
              <w:t>H</w:t>
            </w:r>
            <w:r w:rsidR="0069274C">
              <w:t>.</w:t>
            </w:r>
            <w:r>
              <w:t>B</w:t>
            </w:r>
            <w:r w:rsidR="0069274C">
              <w:t xml:space="preserve">. </w:t>
            </w:r>
            <w:r>
              <w:t xml:space="preserve">400 </w:t>
            </w:r>
            <w:r w:rsidR="0069274C">
              <w:t>see</w:t>
            </w:r>
            <w:r w:rsidR="00031209">
              <w:t>k</w:t>
            </w:r>
            <w:r w:rsidR="0069274C">
              <w:t>s to</w:t>
            </w:r>
            <w:r>
              <w:t xml:space="preserve"> remedy this workforce shortage by </w:t>
            </w:r>
            <w:r w:rsidR="00031209">
              <w:t xml:space="preserve">providing for the establishment of </w:t>
            </w:r>
            <w:r w:rsidR="003D20BB">
              <w:t>a</w:t>
            </w:r>
            <w:r>
              <w:t xml:space="preserve"> </w:t>
            </w:r>
            <w:r w:rsidR="00031209">
              <w:t>p</w:t>
            </w:r>
            <w:r>
              <w:t>sychiatr</w:t>
            </w:r>
            <w:r w:rsidR="001600B8">
              <w:t>ic specialty</w:t>
            </w:r>
            <w:r>
              <w:t xml:space="preserve"> </w:t>
            </w:r>
            <w:r w:rsidR="00031209">
              <w:t>i</w:t>
            </w:r>
            <w:r>
              <w:t xml:space="preserve">nnovation </w:t>
            </w:r>
            <w:r w:rsidR="00031209">
              <w:t>g</w:t>
            </w:r>
            <w:r>
              <w:t xml:space="preserve">rant </w:t>
            </w:r>
            <w:r w:rsidR="00031209">
              <w:t>p</w:t>
            </w:r>
            <w:r>
              <w:t>rogram to</w:t>
            </w:r>
            <w:r w:rsidR="00666FFC">
              <w:t xml:space="preserve"> award incentive payments for the purposes of increasing the number of physicians who specialize in </w:t>
            </w:r>
            <w:r>
              <w:t xml:space="preserve">adult </w:t>
            </w:r>
            <w:r w:rsidR="00666FFC">
              <w:t>or</w:t>
            </w:r>
            <w:r>
              <w:t xml:space="preserve"> pediatric psychiatr</w:t>
            </w:r>
            <w:r w:rsidR="00666FFC">
              <w:t>ic care</w:t>
            </w:r>
            <w:r>
              <w:t xml:space="preserve">. The </w:t>
            </w:r>
            <w:r w:rsidR="003D20BB">
              <w:t>bill also provides for the establishment of a</w:t>
            </w:r>
            <w:r>
              <w:t xml:space="preserve"> </w:t>
            </w:r>
            <w:r w:rsidR="003D20BB">
              <w:t>b</w:t>
            </w:r>
            <w:r>
              <w:t xml:space="preserve">ehavioral </w:t>
            </w:r>
            <w:r w:rsidR="003D20BB">
              <w:t>h</w:t>
            </w:r>
            <w:r>
              <w:t xml:space="preserve">ealth </w:t>
            </w:r>
            <w:r w:rsidR="003D20BB">
              <w:t>i</w:t>
            </w:r>
            <w:r>
              <w:t xml:space="preserve">nnovation </w:t>
            </w:r>
            <w:r w:rsidR="003D20BB">
              <w:t>g</w:t>
            </w:r>
            <w:r>
              <w:t xml:space="preserve">rant </w:t>
            </w:r>
            <w:r w:rsidR="003D20BB">
              <w:t>p</w:t>
            </w:r>
            <w:r>
              <w:t xml:space="preserve">rogram </w:t>
            </w:r>
            <w:r w:rsidR="003D20BB">
              <w:t>to</w:t>
            </w:r>
            <w:r>
              <w:t xml:space="preserve"> award incentive payment</w:t>
            </w:r>
            <w:r>
              <w:t xml:space="preserve">s to institutions of higher education that administer innovative recruitment, training, and retention programs designed to increase the number of mental health professionals </w:t>
            </w:r>
            <w:r w:rsidR="00666FFC">
              <w:t xml:space="preserve">or professionals </w:t>
            </w:r>
            <w:r>
              <w:t xml:space="preserve">in related fields. </w:t>
            </w:r>
          </w:p>
          <w:p w14:paraId="62401995" w14:textId="77777777" w:rsidR="008423E4" w:rsidRPr="00E26B13" w:rsidRDefault="008423E4" w:rsidP="004E60D6">
            <w:pPr>
              <w:rPr>
                <w:b/>
              </w:rPr>
            </w:pPr>
          </w:p>
        </w:tc>
      </w:tr>
      <w:tr w:rsidR="006F7491" w14:paraId="58FECDAD" w14:textId="77777777" w:rsidTr="00345119">
        <w:tc>
          <w:tcPr>
            <w:tcW w:w="9576" w:type="dxa"/>
          </w:tcPr>
          <w:p w14:paraId="521BBFF7" w14:textId="77777777" w:rsidR="0017725B" w:rsidRDefault="006B392F" w:rsidP="004E60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A04C1D" w14:textId="77777777" w:rsidR="0017725B" w:rsidRDefault="0017725B" w:rsidP="004E60D6">
            <w:pPr>
              <w:rPr>
                <w:b/>
                <w:u w:val="single"/>
              </w:rPr>
            </w:pPr>
          </w:p>
          <w:p w14:paraId="5E58933D" w14:textId="07158047" w:rsidR="006136C3" w:rsidRPr="006136C3" w:rsidRDefault="006B392F" w:rsidP="004E60D6">
            <w:pPr>
              <w:jc w:val="both"/>
            </w:pPr>
            <w:r>
              <w:t>It is the committe</w:t>
            </w:r>
            <w:r>
              <w:t>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59CBCAB" w14:textId="77777777" w:rsidR="0017725B" w:rsidRPr="0017725B" w:rsidRDefault="0017725B" w:rsidP="004E60D6">
            <w:pPr>
              <w:rPr>
                <w:b/>
                <w:u w:val="single"/>
              </w:rPr>
            </w:pPr>
          </w:p>
        </w:tc>
      </w:tr>
      <w:tr w:rsidR="006F7491" w14:paraId="7EF2CD1B" w14:textId="77777777" w:rsidTr="00345119">
        <w:tc>
          <w:tcPr>
            <w:tcW w:w="9576" w:type="dxa"/>
          </w:tcPr>
          <w:p w14:paraId="422552B8" w14:textId="77777777" w:rsidR="008423E4" w:rsidRPr="00A8133F" w:rsidRDefault="006B392F" w:rsidP="004E60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E333C3" w14:textId="77777777" w:rsidR="008423E4" w:rsidRDefault="008423E4" w:rsidP="004E60D6"/>
          <w:p w14:paraId="20023E69" w14:textId="04929DBD" w:rsidR="006136C3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6136C3">
              <w:t>Texas Higher Education Coordinating Board</w:t>
            </w:r>
            <w:r>
              <w:t xml:space="preserve"> in </w:t>
            </w:r>
            <w:r w:rsidRPr="006136C3">
              <w:t>SECTION</w:t>
            </w:r>
            <w:r w:rsidR="00BD104E">
              <w:t>S</w:t>
            </w:r>
            <w:r w:rsidRPr="006136C3">
              <w:t xml:space="preserve"> 1</w:t>
            </w:r>
            <w:r>
              <w:t xml:space="preserve"> </w:t>
            </w:r>
            <w:r w:rsidR="00BD104E">
              <w:t xml:space="preserve">and 2 </w:t>
            </w:r>
            <w:r>
              <w:t>of this bill.</w:t>
            </w:r>
          </w:p>
          <w:p w14:paraId="3E708D8A" w14:textId="77777777" w:rsidR="008423E4" w:rsidRPr="00E21FDC" w:rsidRDefault="008423E4" w:rsidP="004E60D6">
            <w:pPr>
              <w:rPr>
                <w:b/>
              </w:rPr>
            </w:pPr>
          </w:p>
        </w:tc>
      </w:tr>
      <w:tr w:rsidR="006F7491" w14:paraId="5CC3CE5E" w14:textId="77777777" w:rsidTr="00345119">
        <w:tc>
          <w:tcPr>
            <w:tcW w:w="9576" w:type="dxa"/>
          </w:tcPr>
          <w:p w14:paraId="43B38D2E" w14:textId="77777777" w:rsidR="008423E4" w:rsidRPr="00A8133F" w:rsidRDefault="006B392F" w:rsidP="004E60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3BE7AA" w14:textId="77777777" w:rsidR="008423E4" w:rsidRDefault="008423E4" w:rsidP="004E60D6"/>
          <w:p w14:paraId="3196C461" w14:textId="61B048F1" w:rsidR="0000377F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400 amends the Education Code to </w:t>
            </w:r>
            <w:r w:rsidR="00C30ABE">
              <w:t>provide for the establishment of a psychiatric specialty innovation grant program and a behavioral health innovation grant program for the purposes of promoting pediatric or adult psychiatric care and increasing the behavioral health workforce in Texas.</w:t>
            </w:r>
          </w:p>
          <w:p w14:paraId="536879F6" w14:textId="77777777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4E598A" w14:textId="640F7AAD" w:rsidR="0000377F" w:rsidRPr="00FA271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Establishment of </w:t>
            </w:r>
            <w:r w:rsidRPr="00FA2714">
              <w:rPr>
                <w:b/>
                <w:bCs/>
              </w:rPr>
              <w:t>Psychiatric Specialty Innovation Grant Program</w:t>
            </w:r>
          </w:p>
          <w:p w14:paraId="76BB63B1" w14:textId="77777777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55D00E" w14:textId="5333E108" w:rsidR="00BD104E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400 </w:t>
            </w:r>
            <w:r w:rsidR="006136C3">
              <w:t>require</w:t>
            </w:r>
            <w:r>
              <w:t>s</w:t>
            </w:r>
            <w:r w:rsidR="006136C3">
              <w:t xml:space="preserve"> the </w:t>
            </w:r>
            <w:r w:rsidR="006136C3" w:rsidRPr="006136C3">
              <w:t>Texas Higher Education Coordinating Board</w:t>
            </w:r>
            <w:r w:rsidR="006136C3">
              <w:t xml:space="preserve"> </w:t>
            </w:r>
            <w:r w:rsidR="006136C3" w:rsidRPr="006136C3">
              <w:t>(THECB)</w:t>
            </w:r>
            <w:r w:rsidR="00E40A22">
              <w:t>, not later than September 1, 2024, and subject to available funds,</w:t>
            </w:r>
            <w:r w:rsidR="006136C3">
              <w:t xml:space="preserve"> to establish </w:t>
            </w:r>
            <w:r w:rsidR="006136C3" w:rsidRPr="006136C3">
              <w:t>a</w:t>
            </w:r>
            <w:r w:rsidR="00F12401">
              <w:t xml:space="preserve"> psychiatric specialty</w:t>
            </w:r>
            <w:r w:rsidR="006136C3" w:rsidRPr="006136C3">
              <w:t xml:space="preserve"> innovation grant program</w:t>
            </w:r>
            <w:r w:rsidR="005E17C4" w:rsidRPr="005E17C4">
              <w:t xml:space="preserve"> </w:t>
            </w:r>
            <w:r w:rsidR="006136C3" w:rsidRPr="006136C3">
              <w:t>under which the</w:t>
            </w:r>
            <w:r w:rsidR="006136C3">
              <w:t xml:space="preserve"> </w:t>
            </w:r>
            <w:r w:rsidR="006136C3" w:rsidRPr="006136C3">
              <w:t>THECB</w:t>
            </w:r>
            <w:r w:rsidR="006136C3">
              <w:t xml:space="preserve"> </w:t>
            </w:r>
            <w:r w:rsidR="006136C3" w:rsidRPr="006136C3">
              <w:t>awards incentive payments to medical schools that administer innovative residency training programs designed to increase the number of physicians in</w:t>
            </w:r>
            <w:r w:rsidR="006136C3">
              <w:t xml:space="preserve"> Texas </w:t>
            </w:r>
            <w:r w:rsidR="006136C3" w:rsidRPr="006136C3">
              <w:t>who specialize in pediatric or adult psychiatric care.</w:t>
            </w:r>
            <w:r w:rsidR="008D3988">
              <w:t xml:space="preserve"> </w:t>
            </w:r>
          </w:p>
          <w:p w14:paraId="7211ADAD" w14:textId="77777777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40B62B" w14:textId="14E7ABA1" w:rsidR="0000377F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400 </w:t>
            </w:r>
            <w:r w:rsidRPr="00E5438E">
              <w:t xml:space="preserve">caps </w:t>
            </w:r>
            <w:r>
              <w:t xml:space="preserve">the amount of a </w:t>
            </w:r>
            <w:r w:rsidRPr="00D24E5F">
              <w:t xml:space="preserve">psychiatric specialty innovation </w:t>
            </w:r>
            <w:r w:rsidRPr="00E5438E">
              <w:t xml:space="preserve">grant at $1 million </w:t>
            </w:r>
            <w:r>
              <w:t>and requires the THECB to award grants as follows:</w:t>
            </w:r>
          </w:p>
          <w:p w14:paraId="6C994DE2" w14:textId="76FD3FEB" w:rsidR="0000377F" w:rsidRDefault="006B392F" w:rsidP="004E60D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AB1C8B">
              <w:t>60 percent of the amount available in each program year to medical schools with p</w:t>
            </w:r>
            <w:r w:rsidRPr="00AB1C8B">
              <w:t>rograms that train physicians to specialize in pediatric psychiatric care; and</w:t>
            </w:r>
          </w:p>
          <w:p w14:paraId="3B032BF2" w14:textId="05D1B1B1" w:rsidR="0000377F" w:rsidRDefault="006B392F" w:rsidP="004E60D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40</w:t>
            </w:r>
            <w:r w:rsidRPr="00AB1C8B">
              <w:t xml:space="preserve"> percent of the amount available in each program year to medical schools with programs that train physicians to specialize in adult psychiatric care.</w:t>
            </w:r>
          </w:p>
          <w:p w14:paraId="638BDA2E" w14:textId="1739302F" w:rsidR="008C486F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B227E6">
              <w:t xml:space="preserve"> requires the THECB to </w:t>
            </w:r>
            <w:r w:rsidR="00B227E6" w:rsidRPr="00AB1C8B">
              <w:t>giv</w:t>
            </w:r>
            <w:r w:rsidR="00B227E6">
              <w:t>e</w:t>
            </w:r>
            <w:r w:rsidR="00B227E6" w:rsidRPr="00AB1C8B">
              <w:t xml:space="preserve"> priority </w:t>
            </w:r>
            <w:r w:rsidR="00B227E6">
              <w:t xml:space="preserve">within each category </w:t>
            </w:r>
            <w:r w:rsidR="00B227E6" w:rsidRPr="00AB1C8B">
              <w:t>to grants to medical schools with innovative residency programs based in rural or underserved areas</w:t>
            </w:r>
            <w:r w:rsidR="00B227E6">
              <w:t>. The bill</w:t>
            </w:r>
            <w:r>
              <w:t xml:space="preserve"> </w:t>
            </w:r>
            <w:r w:rsidRPr="008D3988">
              <w:t>authorizes the THECB to use a</w:t>
            </w:r>
            <w:r w:rsidR="00B227E6">
              <w:t xml:space="preserve"> reasonable</w:t>
            </w:r>
            <w:r w:rsidRPr="008D3988">
              <w:t xml:space="preserve"> amount of any general revenue appropriated for purposes of the p</w:t>
            </w:r>
            <w:r w:rsidRPr="008D3988">
              <w:t xml:space="preserve">rogram to pay </w:t>
            </w:r>
            <w:r w:rsidR="00B227E6">
              <w:t>administrative</w:t>
            </w:r>
            <w:r w:rsidRPr="008D3988">
              <w:t xml:space="preserve"> costs</w:t>
            </w:r>
            <w:r w:rsidR="00B227E6">
              <w:t>,</w:t>
            </w:r>
            <w:r w:rsidR="00B227E6" w:rsidRPr="008D3988">
              <w:t xml:space="preserve"> </w:t>
            </w:r>
            <w:r w:rsidR="00B227E6">
              <w:t xml:space="preserve">subject to </w:t>
            </w:r>
            <w:r w:rsidR="00B227E6" w:rsidRPr="008D3988">
              <w:t>a five percent</w:t>
            </w:r>
            <w:r w:rsidR="00B227E6">
              <w:t xml:space="preserve"> cap on the amount used for these purposes</w:t>
            </w:r>
            <w:r w:rsidRPr="008D3988">
              <w:t>.</w:t>
            </w:r>
          </w:p>
          <w:p w14:paraId="176B86B4" w14:textId="7E037AE9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8F2FBB" w14:textId="38083926" w:rsidR="0000377F" w:rsidRPr="00FA271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Establishment of </w:t>
            </w:r>
            <w:r w:rsidRPr="00FA2714">
              <w:rPr>
                <w:b/>
                <w:bCs/>
              </w:rPr>
              <w:t xml:space="preserve">Behavioral Health Innovation Grant Program </w:t>
            </w:r>
          </w:p>
          <w:p w14:paraId="6F4DC9B6" w14:textId="77777777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D57F837" w14:textId="7C283A7A" w:rsidR="005E17C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104E">
              <w:t>H.B. 400 requires the THECB</w:t>
            </w:r>
            <w:r w:rsidR="00E40A22">
              <w:t>, not later than September 1, 2024, and subject to available funds,</w:t>
            </w:r>
            <w:r w:rsidRPr="00BD104E">
              <w:t xml:space="preserve"> to establish a behavioral health innovation grant program under which the THECB awards incentive payments to public institutions of higher education that administer innovative recruitment, training, and retention programs designed to incre</w:t>
            </w:r>
            <w:r w:rsidRPr="00BD104E">
              <w:t>ase the number of mental health professionals or professionals in related fields</w:t>
            </w:r>
            <w:r w:rsidR="0041690F">
              <w:t>,</w:t>
            </w:r>
            <w:r w:rsidRPr="00BD104E">
              <w:t xml:space="preserve"> </w:t>
            </w:r>
            <w:r w:rsidR="00B227E6">
              <w:t xml:space="preserve">as determined by </w:t>
            </w:r>
            <w:r w:rsidR="00ED53F6">
              <w:t xml:space="preserve">the </w:t>
            </w:r>
            <w:r w:rsidR="00B227E6">
              <w:t xml:space="preserve">THECB, </w:t>
            </w:r>
            <w:r w:rsidRPr="00BD104E">
              <w:t>including by providing a salary increase or stipend to a faculty member who provides instruction to additional students in a degree or certificate</w:t>
            </w:r>
            <w:r w:rsidRPr="00BD104E">
              <w:t xml:space="preserve"> program that graduates those professionals.</w:t>
            </w:r>
            <w:r w:rsidR="006136C3">
              <w:t xml:space="preserve"> </w:t>
            </w:r>
          </w:p>
          <w:p w14:paraId="6308A71D" w14:textId="4A326FA0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E1F8CF" w14:textId="77777777" w:rsidR="0000377F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24E5F">
              <w:t xml:space="preserve">H.B. 400 caps </w:t>
            </w:r>
            <w:r>
              <w:t xml:space="preserve">the amount of a behavioral health innovation </w:t>
            </w:r>
            <w:r w:rsidRPr="00D24E5F">
              <w:t xml:space="preserve">grant at $1 million and requires the THECB to give priority to grants to </w:t>
            </w:r>
            <w:r>
              <w:t>applicants that propose to do the following:</w:t>
            </w:r>
          </w:p>
          <w:p w14:paraId="5312E880" w14:textId="77777777" w:rsidR="0000377F" w:rsidRDefault="006B392F" w:rsidP="004E60D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3453D1">
              <w:t xml:space="preserve">enhance or leverage </w:t>
            </w:r>
            <w:r w:rsidRPr="003453D1">
              <w:t>existing degree programs that graduate mental health professionals</w:t>
            </w:r>
            <w:r>
              <w:t xml:space="preserve"> or professionals in a related field;</w:t>
            </w:r>
          </w:p>
          <w:p w14:paraId="176E6566" w14:textId="77777777" w:rsidR="0000377F" w:rsidRDefault="006B392F" w:rsidP="004E60D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establish or maintain a program that serves a </w:t>
            </w:r>
            <w:r w:rsidRPr="003453D1">
              <w:t>rural or underserved area</w:t>
            </w:r>
            <w:r>
              <w:t>;</w:t>
            </w:r>
          </w:p>
          <w:p w14:paraId="0134A6F1" w14:textId="0CCFED33" w:rsidR="0000377F" w:rsidRDefault="006B392F" w:rsidP="004E60D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partner with </w:t>
            </w:r>
            <w:r w:rsidRPr="003453D1">
              <w:t>another institution of higher education to develop a joint program</w:t>
            </w:r>
            <w:r w:rsidRPr="003453D1">
              <w:t xml:space="preserve"> or </w:t>
            </w:r>
            <w:r>
              <w:t xml:space="preserve">with </w:t>
            </w:r>
            <w:r w:rsidRPr="003453D1">
              <w:t>a public school to implement early recruitment in high school;</w:t>
            </w:r>
            <w:r>
              <w:t xml:space="preserve"> </w:t>
            </w:r>
          </w:p>
          <w:p w14:paraId="5BF51775" w14:textId="0E7F5513" w:rsidR="0000377F" w:rsidRDefault="006B392F" w:rsidP="004E60D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3453D1">
              <w:t xml:space="preserve">establish or maintain a program that incentivizes professionals to serve in </w:t>
            </w:r>
            <w:r w:rsidR="00A16171">
              <w:t>the mental health</w:t>
            </w:r>
            <w:r w:rsidR="00A16171" w:rsidRPr="003453D1">
              <w:t xml:space="preserve"> </w:t>
            </w:r>
            <w:r w:rsidRPr="003453D1">
              <w:t>field or a related field of study for at least three consecutive years following graduati</w:t>
            </w:r>
            <w:r w:rsidRPr="003453D1">
              <w:t>on in an inpatient or outpatient behavioral health facility or program that receives state funding;</w:t>
            </w:r>
          </w:p>
          <w:p w14:paraId="6491CE47" w14:textId="1A21F765" w:rsidR="0000377F" w:rsidRDefault="006B392F" w:rsidP="004E60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3453D1">
              <w:t>establish or maintain a degree or certificate program to educate professionals in specialties that face significant workforce shortages</w:t>
            </w:r>
            <w:r w:rsidR="00E439B5">
              <w:t>, including those eligible for the education loan repayment program for certain mental health professionals</w:t>
            </w:r>
            <w:r w:rsidRPr="003453D1">
              <w:t>; or</w:t>
            </w:r>
          </w:p>
          <w:p w14:paraId="0BF13069" w14:textId="77777777" w:rsidR="0000377F" w:rsidRDefault="006B392F" w:rsidP="004E60D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3453D1">
              <w:t>establish or maintain psychiatric fellowship programs that serve correctional facilities or inpatient psychiatric facilities.</w:t>
            </w:r>
          </w:p>
          <w:p w14:paraId="45F75EBE" w14:textId="0C21E734" w:rsidR="000F2216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8D3988">
              <w:t xml:space="preserve">authorizes the THECB to use a </w:t>
            </w:r>
            <w:r>
              <w:t xml:space="preserve">reasonable </w:t>
            </w:r>
            <w:r w:rsidRPr="008D3988">
              <w:t xml:space="preserve">amount of any general revenue appropriated for purposes of the program to pay </w:t>
            </w:r>
            <w:r>
              <w:t>administrative</w:t>
            </w:r>
            <w:r w:rsidRPr="008D3988">
              <w:t xml:space="preserve"> costs</w:t>
            </w:r>
            <w:r>
              <w:t>, subject to</w:t>
            </w:r>
            <w:r w:rsidRPr="008D3988">
              <w:t xml:space="preserve"> a five percent</w:t>
            </w:r>
            <w:r>
              <w:t xml:space="preserve"> cap on the amount used for these purposes</w:t>
            </w:r>
            <w:r w:rsidRPr="008D3988">
              <w:t>.</w:t>
            </w:r>
          </w:p>
          <w:p w14:paraId="3E5CBA66" w14:textId="77777777" w:rsidR="00C912E0" w:rsidRDefault="00C912E0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975D00A" w14:textId="45EF7B17" w:rsidR="0000377F" w:rsidRPr="00FA271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Rulemaking</w:t>
            </w:r>
            <w:r w:rsidRPr="00FA2714">
              <w:rPr>
                <w:b/>
                <w:bCs/>
              </w:rPr>
              <w:t xml:space="preserve"> </w:t>
            </w:r>
          </w:p>
          <w:p w14:paraId="36939436" w14:textId="77777777" w:rsidR="0000377F" w:rsidRDefault="0000377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FE12AC" w14:textId="71182C19" w:rsidR="00A514FD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400 requires the THECB to adopt rules </w:t>
            </w:r>
            <w:r w:rsidRPr="00A514FD">
              <w:t>for the administrat</w:t>
            </w:r>
            <w:r w:rsidRPr="00A514FD">
              <w:t xml:space="preserve">ion of </w:t>
            </w:r>
            <w:r w:rsidR="00A16171">
              <w:t>each</w:t>
            </w:r>
            <w:r w:rsidR="00BD104E" w:rsidRPr="00BD104E">
              <w:t xml:space="preserve"> grant </w:t>
            </w:r>
            <w:r w:rsidRPr="00A514FD">
              <w:t>program</w:t>
            </w:r>
            <w:r w:rsidR="00C912E0">
              <w:t>.</w:t>
            </w:r>
            <w:r>
              <w:t xml:space="preserve"> </w:t>
            </w:r>
            <w:r w:rsidR="00C912E0">
              <w:t xml:space="preserve">The bill requires </w:t>
            </w:r>
            <w:r w:rsidR="00C679CD">
              <w:t xml:space="preserve">the </w:t>
            </w:r>
            <w:r w:rsidR="00C912E0">
              <w:t xml:space="preserve">THECB to consult with each medical school in Texas in adopting rules for the psychiatric specialty innovation grant program and to </w:t>
            </w:r>
            <w:r w:rsidR="007C1A52">
              <w:t>solicit</w:t>
            </w:r>
            <w:r w:rsidR="006807F9">
              <w:t xml:space="preserve"> </w:t>
            </w:r>
            <w:r w:rsidR="00C912E0">
              <w:t>necessary</w:t>
            </w:r>
            <w:r w:rsidR="00A16171">
              <w:t xml:space="preserve"> information </w:t>
            </w:r>
            <w:r w:rsidR="006807F9">
              <w:t>from the Texas Behavioral Health Executive Council</w:t>
            </w:r>
            <w:r w:rsidR="007C1A52">
              <w:t xml:space="preserve"> </w:t>
            </w:r>
            <w:r w:rsidR="00E40A22">
              <w:t>in adopting rules for the behavioral health innovation grant program</w:t>
            </w:r>
            <w:r w:rsidR="007C1A52" w:rsidRPr="007C1A52">
              <w:t>.</w:t>
            </w:r>
            <w:r w:rsidR="006807F9">
              <w:t xml:space="preserve"> The bill</w:t>
            </w:r>
            <w:r w:rsidR="007C1A52">
              <w:t xml:space="preserve"> </w:t>
            </w:r>
            <w:r>
              <w:t>requires the rul</w:t>
            </w:r>
            <w:r>
              <w:t>es</w:t>
            </w:r>
            <w:r w:rsidR="007C1A52">
              <w:t xml:space="preserve"> for </w:t>
            </w:r>
            <w:r w:rsidR="00917B16">
              <w:t xml:space="preserve">each </w:t>
            </w:r>
            <w:r w:rsidR="007C1A52">
              <w:t>program</w:t>
            </w:r>
            <w:r>
              <w:t xml:space="preserve"> to include the following:</w:t>
            </w:r>
          </w:p>
          <w:p w14:paraId="294ECB71" w14:textId="77777777" w:rsidR="00AE3860" w:rsidRDefault="006B392F" w:rsidP="004E60D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administrative provisions relating to the awarding of </w:t>
            </w:r>
            <w:r w:rsidR="006807F9">
              <w:t xml:space="preserve">the </w:t>
            </w:r>
            <w:r>
              <w:t>grants, such as the following:</w:t>
            </w:r>
          </w:p>
          <w:p w14:paraId="15F15716" w14:textId="695751B3" w:rsidR="00AE3860" w:rsidRDefault="006B392F" w:rsidP="004E60D6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eligibility criteria for medical schools </w:t>
            </w:r>
            <w:r w:rsidR="004946B7">
              <w:t>or</w:t>
            </w:r>
            <w:r>
              <w:t xml:space="preserve"> institutions of higher education,</w:t>
            </w:r>
            <w:r w:rsidR="006B487C">
              <w:t xml:space="preserve"> as applicable,</w:t>
            </w:r>
            <w:r>
              <w:t xml:space="preserve"> including a requirement that the medical school </w:t>
            </w:r>
            <w:r w:rsidR="004946B7">
              <w:t xml:space="preserve">or institution </w:t>
            </w:r>
            <w:r>
              <w:t>demonstrate regional and state workforce need</w:t>
            </w:r>
            <w:r w:rsidR="004946B7">
              <w:t>;</w:t>
            </w:r>
          </w:p>
          <w:p w14:paraId="4412BAB3" w14:textId="465F156D" w:rsidR="00AE3860" w:rsidRDefault="006B392F" w:rsidP="004E60D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grant application procedures</w:t>
            </w:r>
            <w:r w:rsidR="00AD226F">
              <w:t>;</w:t>
            </w:r>
          </w:p>
          <w:p w14:paraId="67BC4003" w14:textId="2E2BF853" w:rsidR="00AE3860" w:rsidRDefault="006B392F" w:rsidP="004E60D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guidelines relating to grant amounts</w:t>
            </w:r>
            <w:r w:rsidR="00AD226F">
              <w:t>;</w:t>
            </w:r>
          </w:p>
          <w:p w14:paraId="00F8F728" w14:textId="01C10DD3" w:rsidR="00AE3860" w:rsidRDefault="006B392F" w:rsidP="004E60D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procedures for evaluating grant applications</w:t>
            </w:r>
            <w:r w:rsidR="004946B7">
              <w:t>; and</w:t>
            </w:r>
          </w:p>
          <w:p w14:paraId="1E13AF87" w14:textId="57FA4A07" w:rsidR="00A514FD" w:rsidRDefault="006B392F" w:rsidP="004E60D6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procedures for monitoring t</w:t>
            </w:r>
            <w:r>
              <w:t>he use of grants</w:t>
            </w:r>
            <w:r w:rsidR="00CC1E45">
              <w:t>;</w:t>
            </w:r>
            <w:r>
              <w:t xml:space="preserve"> </w:t>
            </w:r>
            <w:r w:rsidR="009F27BC">
              <w:t>and</w:t>
            </w:r>
          </w:p>
          <w:p w14:paraId="6FE3B3E3" w14:textId="18CF9042" w:rsidR="000771BE" w:rsidRDefault="006B392F" w:rsidP="004E60D6">
            <w:pPr>
              <w:pStyle w:val="Header"/>
              <w:numPr>
                <w:ilvl w:val="0"/>
                <w:numId w:val="3"/>
              </w:numPr>
              <w:jc w:val="both"/>
            </w:pPr>
            <w:r>
              <w:t>methods for tracking the effectiveness of grants</w:t>
            </w:r>
            <w:r w:rsidR="00917B16">
              <w:t xml:space="preserve"> that,</w:t>
            </w:r>
            <w:r>
              <w:t xml:space="preserve"> </w:t>
            </w:r>
            <w:r w:rsidRPr="000771BE">
              <w:t>using data reasonably available to the THECB</w:t>
            </w:r>
            <w:r w:rsidR="00917B16">
              <w:t xml:space="preserve">, </w:t>
            </w:r>
            <w:r>
              <w:t xml:space="preserve">consider relevant information regarding the career paths of medical school graduates </w:t>
            </w:r>
            <w:r w:rsidR="009F27BC">
              <w:t xml:space="preserve">or mental health and related professionals, as applicable, </w:t>
            </w:r>
            <w:r>
              <w:t xml:space="preserve">during the four-year period following their graduation and evaluate whether and for how long those </w:t>
            </w:r>
            <w:r w:rsidR="009F27BC">
              <w:t xml:space="preserve">individuals </w:t>
            </w:r>
            <w:r>
              <w:t>practice in a</w:t>
            </w:r>
            <w:r w:rsidR="00E40A22">
              <w:t>n</w:t>
            </w:r>
            <w:r>
              <w:t xml:space="preserve"> </w:t>
            </w:r>
            <w:r w:rsidR="00445F13">
              <w:t>applicable</w:t>
            </w:r>
            <w:r>
              <w:t xml:space="preserve"> field in Texas</w:t>
            </w:r>
            <w:r w:rsidR="009F27BC">
              <w:t>.</w:t>
            </w:r>
          </w:p>
          <w:p w14:paraId="75013004" w14:textId="4CAC51F8" w:rsidR="00D24E5F" w:rsidRDefault="00D24E5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D166D2" w14:textId="505F517F" w:rsidR="00C912E0" w:rsidRPr="00FA271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Federal Funds and Gifts, Grants, and Donations</w:t>
            </w:r>
          </w:p>
          <w:p w14:paraId="33C71B8C" w14:textId="77777777" w:rsidR="00C912E0" w:rsidRDefault="00C912E0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8EA087" w14:textId="6DDDF323" w:rsidR="00E40A22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400 authorizes the THECB, </w:t>
            </w:r>
            <w:r w:rsidRPr="00A514FD">
              <w:t>in addition to other money appropriated by the legislature</w:t>
            </w:r>
            <w:r>
              <w:t>,</w:t>
            </w:r>
            <w:r w:rsidRPr="00A514FD">
              <w:t xml:space="preserve"> </w:t>
            </w:r>
            <w:r>
              <w:t xml:space="preserve">to seek and apply for any federal funds and solicit and accept gifts, </w:t>
            </w:r>
            <w:r w:rsidRPr="004D27FA">
              <w:t xml:space="preserve">grants, and donations from any other source as necessary to ensure effective implementation of </w:t>
            </w:r>
            <w:r w:rsidRPr="004D27FA">
              <w:t>the</w:t>
            </w:r>
            <w:r>
              <w:t xml:space="preserve"> grant</w:t>
            </w:r>
            <w:r w:rsidRPr="004D27FA">
              <w:t xml:space="preserve"> program</w:t>
            </w:r>
            <w:r>
              <w:t>s.</w:t>
            </w:r>
            <w:r w:rsidR="00C30ABE">
              <w:t xml:space="preserve"> </w:t>
            </w:r>
          </w:p>
          <w:p w14:paraId="74188814" w14:textId="2DDF0832" w:rsidR="00E40A22" w:rsidRDefault="00E40A22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4A2E8B" w14:textId="52D732CA" w:rsidR="00E40A22" w:rsidRPr="00FA2714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Reporting Requirements</w:t>
            </w:r>
          </w:p>
          <w:p w14:paraId="6358084C" w14:textId="77777777" w:rsidR="00E40A22" w:rsidRDefault="00E40A22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334950" w14:textId="2ED7E9C2" w:rsidR="009C36CD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400</w:t>
            </w:r>
            <w:r w:rsidR="00C30ABE">
              <w:t xml:space="preserve"> </w:t>
            </w:r>
            <w:r w:rsidR="00E5438E">
              <w:t xml:space="preserve">requires a medical school </w:t>
            </w:r>
            <w:r w:rsidR="00D24E5F">
              <w:t xml:space="preserve">or institution of higher education </w:t>
            </w:r>
            <w:r w:rsidR="008678DE">
              <w:t xml:space="preserve">that receives a grant </w:t>
            </w:r>
            <w:r>
              <w:t xml:space="preserve">under the bill's provisions </w:t>
            </w:r>
            <w:r w:rsidR="008678DE">
              <w:t xml:space="preserve">to submit to the THECB an annual report on the amounts and purposes for which grant funds were spent during the year covered by the report. </w:t>
            </w:r>
          </w:p>
          <w:p w14:paraId="159052C3" w14:textId="77777777" w:rsidR="008423E4" w:rsidRPr="00835628" w:rsidRDefault="008423E4" w:rsidP="004E60D6">
            <w:pPr>
              <w:rPr>
                <w:b/>
              </w:rPr>
            </w:pPr>
          </w:p>
        </w:tc>
      </w:tr>
      <w:tr w:rsidR="006F7491" w14:paraId="3CB71EF6" w14:textId="77777777" w:rsidTr="00345119">
        <w:tc>
          <w:tcPr>
            <w:tcW w:w="9576" w:type="dxa"/>
          </w:tcPr>
          <w:p w14:paraId="5ED0C995" w14:textId="77777777" w:rsidR="008423E4" w:rsidRPr="00A8133F" w:rsidRDefault="006B392F" w:rsidP="004E60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D24661" w14:textId="77777777" w:rsidR="008423E4" w:rsidRDefault="008423E4" w:rsidP="004E60D6"/>
          <w:p w14:paraId="3FE2A445" w14:textId="67324FC1" w:rsidR="008423E4" w:rsidRPr="003624F2" w:rsidRDefault="006B392F" w:rsidP="004E6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4C4CB45" w14:textId="77777777" w:rsidR="008423E4" w:rsidRPr="00233FDB" w:rsidRDefault="008423E4" w:rsidP="004E60D6">
            <w:pPr>
              <w:rPr>
                <w:b/>
              </w:rPr>
            </w:pPr>
          </w:p>
        </w:tc>
      </w:tr>
    </w:tbl>
    <w:p w14:paraId="582B97CF" w14:textId="77777777" w:rsidR="008423E4" w:rsidRPr="00BE0E75" w:rsidRDefault="008423E4" w:rsidP="004E60D6">
      <w:pPr>
        <w:jc w:val="both"/>
        <w:rPr>
          <w:rFonts w:ascii="Arial" w:hAnsi="Arial"/>
          <w:sz w:val="16"/>
          <w:szCs w:val="16"/>
        </w:rPr>
      </w:pPr>
    </w:p>
    <w:p w14:paraId="1B6BD53D" w14:textId="77777777" w:rsidR="004108C3" w:rsidRPr="008423E4" w:rsidRDefault="004108C3" w:rsidP="004E60D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E2E4" w14:textId="77777777" w:rsidR="00000000" w:rsidRDefault="006B392F">
      <w:r>
        <w:separator/>
      </w:r>
    </w:p>
  </w:endnote>
  <w:endnote w:type="continuationSeparator" w:id="0">
    <w:p w14:paraId="0D288A24" w14:textId="77777777" w:rsidR="00000000" w:rsidRDefault="006B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BC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7491" w14:paraId="4447A036" w14:textId="77777777" w:rsidTr="009C1E9A">
      <w:trPr>
        <w:cantSplit/>
      </w:trPr>
      <w:tc>
        <w:tcPr>
          <w:tcW w:w="0" w:type="pct"/>
        </w:tcPr>
        <w:p w14:paraId="078219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1ADD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A43F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1D1D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0852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7491" w14:paraId="00C7DDD7" w14:textId="77777777" w:rsidTr="009C1E9A">
      <w:trPr>
        <w:cantSplit/>
      </w:trPr>
      <w:tc>
        <w:tcPr>
          <w:tcW w:w="0" w:type="pct"/>
        </w:tcPr>
        <w:p w14:paraId="0ADA1E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CAF0EE" w14:textId="2B5A39D6" w:rsidR="00EC379B" w:rsidRPr="009C1E9A" w:rsidRDefault="006B392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23670-D</w:t>
          </w:r>
        </w:p>
      </w:tc>
      <w:tc>
        <w:tcPr>
          <w:tcW w:w="2453" w:type="pct"/>
        </w:tcPr>
        <w:p w14:paraId="4089C7EE" w14:textId="2A307159" w:rsidR="00EC379B" w:rsidRDefault="006B39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3E94">
            <w:t>23.103.336</w:t>
          </w:r>
          <w:r>
            <w:fldChar w:fldCharType="end"/>
          </w:r>
        </w:p>
      </w:tc>
    </w:tr>
    <w:tr w:rsidR="006F7491" w14:paraId="42A09D78" w14:textId="77777777" w:rsidTr="009C1E9A">
      <w:trPr>
        <w:cantSplit/>
      </w:trPr>
      <w:tc>
        <w:tcPr>
          <w:tcW w:w="0" w:type="pct"/>
        </w:tcPr>
        <w:p w14:paraId="0E96358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91681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C5442F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98F9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7491" w14:paraId="7A5240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C5DBBD" w14:textId="77777777" w:rsidR="00EC379B" w:rsidRDefault="006B392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8B9E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9304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C4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8607" w14:textId="77777777" w:rsidR="00000000" w:rsidRDefault="006B392F">
      <w:r>
        <w:separator/>
      </w:r>
    </w:p>
  </w:footnote>
  <w:footnote w:type="continuationSeparator" w:id="0">
    <w:p w14:paraId="68CA7CBB" w14:textId="77777777" w:rsidR="00000000" w:rsidRDefault="006B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3ED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AAA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FD2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327"/>
    <w:multiLevelType w:val="hybridMultilevel"/>
    <w:tmpl w:val="EE32825E"/>
    <w:lvl w:ilvl="0" w:tplc="3D86A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D583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A2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B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C4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02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B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83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D0E"/>
    <w:multiLevelType w:val="hybridMultilevel"/>
    <w:tmpl w:val="69FC63B4"/>
    <w:lvl w:ilvl="0" w:tplc="FC76DF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B7FE04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BA02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5A52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0BD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8BD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C619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1AE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F0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847F8"/>
    <w:multiLevelType w:val="hybridMultilevel"/>
    <w:tmpl w:val="5F861E90"/>
    <w:lvl w:ilvl="0" w:tplc="2F52A1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EA8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F809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0C38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3CD0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4267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1C41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A628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502C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63646"/>
    <w:multiLevelType w:val="hybridMultilevel"/>
    <w:tmpl w:val="B6148A50"/>
    <w:lvl w:ilvl="0" w:tplc="CA5A9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4E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8F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3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41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F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A1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7ADD"/>
    <w:multiLevelType w:val="hybridMultilevel"/>
    <w:tmpl w:val="88281118"/>
    <w:lvl w:ilvl="0" w:tplc="D4682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65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45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1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CD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25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20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A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6B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6323"/>
    <w:multiLevelType w:val="hybridMultilevel"/>
    <w:tmpl w:val="17907410"/>
    <w:lvl w:ilvl="0" w:tplc="3922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27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0D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1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A8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82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05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E7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0D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606E"/>
    <w:multiLevelType w:val="hybridMultilevel"/>
    <w:tmpl w:val="553C6056"/>
    <w:lvl w:ilvl="0" w:tplc="1E8C2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67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2C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D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25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87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F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47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83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6428"/>
    <w:multiLevelType w:val="hybridMultilevel"/>
    <w:tmpl w:val="40C8C308"/>
    <w:lvl w:ilvl="0" w:tplc="2DEE5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8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4E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8D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87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63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9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8F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9424">
    <w:abstractNumId w:val="7"/>
  </w:num>
  <w:num w:numId="2" w16cid:durableId="1148399430">
    <w:abstractNumId w:val="2"/>
  </w:num>
  <w:num w:numId="3" w16cid:durableId="1126970437">
    <w:abstractNumId w:val="0"/>
  </w:num>
  <w:num w:numId="4" w16cid:durableId="802426502">
    <w:abstractNumId w:val="1"/>
  </w:num>
  <w:num w:numId="5" w16cid:durableId="2112166452">
    <w:abstractNumId w:val="6"/>
  </w:num>
  <w:num w:numId="6" w16cid:durableId="125437589">
    <w:abstractNumId w:val="5"/>
  </w:num>
  <w:num w:numId="7" w16cid:durableId="1056508174">
    <w:abstractNumId w:val="4"/>
  </w:num>
  <w:num w:numId="8" w16cid:durableId="144044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3"/>
    <w:rsid w:val="00000A70"/>
    <w:rsid w:val="000032B8"/>
    <w:rsid w:val="0000377F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209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1BE"/>
    <w:rsid w:val="00080D95"/>
    <w:rsid w:val="00090E6B"/>
    <w:rsid w:val="00091B2C"/>
    <w:rsid w:val="00092ABC"/>
    <w:rsid w:val="00093F28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DD9"/>
    <w:rsid w:val="000E1976"/>
    <w:rsid w:val="000E20F1"/>
    <w:rsid w:val="000E5B20"/>
    <w:rsid w:val="000E7C14"/>
    <w:rsid w:val="000F094C"/>
    <w:rsid w:val="000F1392"/>
    <w:rsid w:val="000F18A2"/>
    <w:rsid w:val="000F2216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BEC"/>
    <w:rsid w:val="001600B8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7E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437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0E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20F"/>
    <w:rsid w:val="003453D1"/>
    <w:rsid w:val="00347B4A"/>
    <w:rsid w:val="003500C3"/>
    <w:rsid w:val="003523BD"/>
    <w:rsid w:val="00352681"/>
    <w:rsid w:val="003535F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6F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0B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90F"/>
    <w:rsid w:val="00416CD9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8F7"/>
    <w:rsid w:val="00445F13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78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6B7"/>
    <w:rsid w:val="0049682B"/>
    <w:rsid w:val="004977A3"/>
    <w:rsid w:val="004A03F7"/>
    <w:rsid w:val="004A081C"/>
    <w:rsid w:val="004A123F"/>
    <w:rsid w:val="004A2172"/>
    <w:rsid w:val="004A239F"/>
    <w:rsid w:val="004A3EF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7FA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0D6"/>
    <w:rsid w:val="004E6639"/>
    <w:rsid w:val="004E6BAE"/>
    <w:rsid w:val="004F289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B9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15C"/>
    <w:rsid w:val="005570D2"/>
    <w:rsid w:val="00561528"/>
    <w:rsid w:val="0056153F"/>
    <w:rsid w:val="00561B14"/>
    <w:rsid w:val="00562C87"/>
    <w:rsid w:val="005636BD"/>
    <w:rsid w:val="005666D5"/>
    <w:rsid w:val="005669A7"/>
    <w:rsid w:val="0057049C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0D5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7C4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6C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FFC"/>
    <w:rsid w:val="0067036E"/>
    <w:rsid w:val="00671693"/>
    <w:rsid w:val="006757AA"/>
    <w:rsid w:val="006807F9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74C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92F"/>
    <w:rsid w:val="006B487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9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B6E"/>
    <w:rsid w:val="00735B9D"/>
    <w:rsid w:val="007365A5"/>
    <w:rsid w:val="00736FB0"/>
    <w:rsid w:val="007404BC"/>
    <w:rsid w:val="00740D13"/>
    <w:rsid w:val="00740F5F"/>
    <w:rsid w:val="007416FE"/>
    <w:rsid w:val="00742794"/>
    <w:rsid w:val="00743C4C"/>
    <w:rsid w:val="007445B7"/>
    <w:rsid w:val="00744920"/>
    <w:rsid w:val="007509BE"/>
    <w:rsid w:val="0075287B"/>
    <w:rsid w:val="00755C7B"/>
    <w:rsid w:val="00763A84"/>
    <w:rsid w:val="00764786"/>
    <w:rsid w:val="00766E12"/>
    <w:rsid w:val="0077098E"/>
    <w:rsid w:val="00771287"/>
    <w:rsid w:val="0077149E"/>
    <w:rsid w:val="0077525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A28"/>
    <w:rsid w:val="007B4FCA"/>
    <w:rsid w:val="007B7B85"/>
    <w:rsid w:val="007C1A52"/>
    <w:rsid w:val="007C462E"/>
    <w:rsid w:val="007C496B"/>
    <w:rsid w:val="007C6803"/>
    <w:rsid w:val="007D2892"/>
    <w:rsid w:val="007D2DCC"/>
    <w:rsid w:val="007D47E1"/>
    <w:rsid w:val="007D7FCB"/>
    <w:rsid w:val="007E01B7"/>
    <w:rsid w:val="007E33B6"/>
    <w:rsid w:val="007E59E8"/>
    <w:rsid w:val="007F3861"/>
    <w:rsid w:val="007F4162"/>
    <w:rsid w:val="007F5441"/>
    <w:rsid w:val="007F7059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7D2"/>
    <w:rsid w:val="0086477C"/>
    <w:rsid w:val="00864BAD"/>
    <w:rsid w:val="00866F9D"/>
    <w:rsid w:val="008673D9"/>
    <w:rsid w:val="008678DE"/>
    <w:rsid w:val="00867CEF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E94"/>
    <w:rsid w:val="008B4A91"/>
    <w:rsid w:val="008B5200"/>
    <w:rsid w:val="008B7785"/>
    <w:rsid w:val="008B79F2"/>
    <w:rsid w:val="008C0752"/>
    <w:rsid w:val="008C0809"/>
    <w:rsid w:val="008C132C"/>
    <w:rsid w:val="008C3FD0"/>
    <w:rsid w:val="008C486F"/>
    <w:rsid w:val="008D27A5"/>
    <w:rsid w:val="008D2AAB"/>
    <w:rsid w:val="008D309C"/>
    <w:rsid w:val="008D3988"/>
    <w:rsid w:val="008D58F9"/>
    <w:rsid w:val="008D7427"/>
    <w:rsid w:val="008E3338"/>
    <w:rsid w:val="008E41F4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B16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077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D1D"/>
    <w:rsid w:val="009B26AB"/>
    <w:rsid w:val="009B3476"/>
    <w:rsid w:val="009B39BC"/>
    <w:rsid w:val="009B5069"/>
    <w:rsid w:val="009B69AD"/>
    <w:rsid w:val="009B7806"/>
    <w:rsid w:val="009B7BD5"/>
    <w:rsid w:val="009C05C1"/>
    <w:rsid w:val="009C1E9A"/>
    <w:rsid w:val="009C2A33"/>
    <w:rsid w:val="009C2E49"/>
    <w:rsid w:val="009C36CD"/>
    <w:rsid w:val="009C423C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BC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377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17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4FD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CA4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C8B"/>
    <w:rsid w:val="00AB2C05"/>
    <w:rsid w:val="00AB2FD3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12"/>
    <w:rsid w:val="00AD226F"/>
    <w:rsid w:val="00AD304B"/>
    <w:rsid w:val="00AD4497"/>
    <w:rsid w:val="00AD7780"/>
    <w:rsid w:val="00AE2263"/>
    <w:rsid w:val="00AE248E"/>
    <w:rsid w:val="00AE2D12"/>
    <w:rsid w:val="00AE2F06"/>
    <w:rsid w:val="00AE3860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7E6"/>
    <w:rsid w:val="00B233BB"/>
    <w:rsid w:val="00B25612"/>
    <w:rsid w:val="00B26437"/>
    <w:rsid w:val="00B2678E"/>
    <w:rsid w:val="00B27992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43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04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85B"/>
    <w:rsid w:val="00C23956"/>
    <w:rsid w:val="00C248E6"/>
    <w:rsid w:val="00C2766F"/>
    <w:rsid w:val="00C30ABE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9C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F26"/>
    <w:rsid w:val="00C9047F"/>
    <w:rsid w:val="00C912E0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4D06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45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2C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E5F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8EB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2F1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A22"/>
    <w:rsid w:val="00E41CAE"/>
    <w:rsid w:val="00E42014"/>
    <w:rsid w:val="00E42B85"/>
    <w:rsid w:val="00E42BB2"/>
    <w:rsid w:val="00E43263"/>
    <w:rsid w:val="00E438AE"/>
    <w:rsid w:val="00E439B5"/>
    <w:rsid w:val="00E443CE"/>
    <w:rsid w:val="00E45547"/>
    <w:rsid w:val="00E500F1"/>
    <w:rsid w:val="00E51446"/>
    <w:rsid w:val="00E529C8"/>
    <w:rsid w:val="00E5438E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C3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3F6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401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EA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714"/>
    <w:rsid w:val="00FA32FC"/>
    <w:rsid w:val="00FA4EF5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E7F89B-C2A0-4678-9AAB-568E659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36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6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6C3"/>
    <w:rPr>
      <w:b/>
      <w:bCs/>
    </w:rPr>
  </w:style>
  <w:style w:type="paragraph" w:styleId="Revision">
    <w:name w:val="Revision"/>
    <w:hidden/>
    <w:uiPriority w:val="99"/>
    <w:semiHidden/>
    <w:rsid w:val="00512B9B"/>
    <w:rPr>
      <w:sz w:val="24"/>
      <w:szCs w:val="24"/>
    </w:rPr>
  </w:style>
  <w:style w:type="character" w:styleId="Hyperlink">
    <w:name w:val="Hyperlink"/>
    <w:basedOn w:val="DefaultParagraphFont"/>
    <w:unhideWhenUsed/>
    <w:rsid w:val="003452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6551</Characters>
  <Application>Microsoft Office Word</Application>
  <DocSecurity>4</DocSecurity>
  <Lines>137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HB00400 (Committee Report (Unamended))</vt:lpstr>
    </vt:vector>
  </TitlesOfParts>
  <Company>State of Texas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23670</dc:subject>
  <dc:creator>State of Texas</dc:creator>
  <dc:description>HB 400 by Klick-(H)Higher Education</dc:description>
  <cp:lastModifiedBy>Stacey Nicchio</cp:lastModifiedBy>
  <cp:revision>2</cp:revision>
  <cp:lastPrinted>2003-11-26T17:21:00Z</cp:lastPrinted>
  <dcterms:created xsi:type="dcterms:W3CDTF">2023-04-14T17:39:00Z</dcterms:created>
  <dcterms:modified xsi:type="dcterms:W3CDTF">2023-04-14T17:39:00Z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23.103.336</vt:lpwstr>
  </property>
</Properties>
</file>