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03B1F" w14:paraId="647B4BCF" w14:textId="77777777" w:rsidTr="00345119">
        <w:tc>
          <w:tcPr>
            <w:tcW w:w="9576" w:type="dxa"/>
            <w:noWrap/>
          </w:tcPr>
          <w:p w14:paraId="3A0171E6" w14:textId="77777777" w:rsidR="008423E4" w:rsidRPr="0022177D" w:rsidRDefault="00FC31C0" w:rsidP="00CD02DC">
            <w:pPr>
              <w:pStyle w:val="Heading1"/>
            </w:pPr>
            <w:r w:rsidRPr="00631897">
              <w:t>BILL ANALYSIS</w:t>
            </w:r>
          </w:p>
        </w:tc>
      </w:tr>
    </w:tbl>
    <w:p w14:paraId="69183A6F" w14:textId="77777777" w:rsidR="008423E4" w:rsidRPr="0022177D" w:rsidRDefault="008423E4" w:rsidP="00CD02DC">
      <w:pPr>
        <w:jc w:val="center"/>
      </w:pPr>
    </w:p>
    <w:p w14:paraId="6186A64A" w14:textId="77777777" w:rsidR="008423E4" w:rsidRPr="00B31F0E" w:rsidRDefault="008423E4" w:rsidP="00CD02DC"/>
    <w:p w14:paraId="05A6494A" w14:textId="77777777" w:rsidR="008423E4" w:rsidRPr="00742794" w:rsidRDefault="008423E4" w:rsidP="00CD02D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03B1F" w14:paraId="2779B3B7" w14:textId="77777777" w:rsidTr="00345119">
        <w:tc>
          <w:tcPr>
            <w:tcW w:w="9576" w:type="dxa"/>
          </w:tcPr>
          <w:p w14:paraId="57565EA5" w14:textId="0A2739DB" w:rsidR="008423E4" w:rsidRPr="00861995" w:rsidRDefault="00FC31C0" w:rsidP="00CD02DC">
            <w:pPr>
              <w:jc w:val="right"/>
            </w:pPr>
            <w:r>
              <w:t>H.B. 409</w:t>
            </w:r>
          </w:p>
        </w:tc>
      </w:tr>
      <w:tr w:rsidR="00303B1F" w14:paraId="528091C3" w14:textId="77777777" w:rsidTr="00345119">
        <w:tc>
          <w:tcPr>
            <w:tcW w:w="9576" w:type="dxa"/>
          </w:tcPr>
          <w:p w14:paraId="02F029CF" w14:textId="3607B357" w:rsidR="008423E4" w:rsidRPr="00861995" w:rsidRDefault="00FC31C0" w:rsidP="00CD02DC">
            <w:pPr>
              <w:jc w:val="right"/>
            </w:pPr>
            <w:r>
              <w:t xml:space="preserve">By: </w:t>
            </w:r>
            <w:r w:rsidR="009E38F7">
              <w:t>Collier</w:t>
            </w:r>
          </w:p>
        </w:tc>
      </w:tr>
      <w:tr w:rsidR="00303B1F" w14:paraId="18906519" w14:textId="77777777" w:rsidTr="00345119">
        <w:tc>
          <w:tcPr>
            <w:tcW w:w="9576" w:type="dxa"/>
          </w:tcPr>
          <w:p w14:paraId="2964BC16" w14:textId="13A26EB3" w:rsidR="008423E4" w:rsidRPr="00861995" w:rsidRDefault="00FC31C0" w:rsidP="00CD02DC">
            <w:pPr>
              <w:jc w:val="right"/>
            </w:pPr>
            <w:r>
              <w:t>Criminal Jurisprudence</w:t>
            </w:r>
          </w:p>
        </w:tc>
      </w:tr>
      <w:tr w:rsidR="00303B1F" w14:paraId="1F70DCB4" w14:textId="77777777" w:rsidTr="00345119">
        <w:tc>
          <w:tcPr>
            <w:tcW w:w="9576" w:type="dxa"/>
          </w:tcPr>
          <w:p w14:paraId="76832008" w14:textId="1743964C" w:rsidR="008423E4" w:rsidRDefault="00FC31C0" w:rsidP="00CD02DC">
            <w:pPr>
              <w:jc w:val="right"/>
            </w:pPr>
            <w:r>
              <w:t>Committee Report (Unamended)</w:t>
            </w:r>
          </w:p>
        </w:tc>
      </w:tr>
    </w:tbl>
    <w:p w14:paraId="47CF9A5D" w14:textId="77777777" w:rsidR="008423E4" w:rsidRDefault="008423E4" w:rsidP="00CD02DC">
      <w:pPr>
        <w:tabs>
          <w:tab w:val="right" w:pos="9360"/>
        </w:tabs>
      </w:pPr>
    </w:p>
    <w:p w14:paraId="0261CBBD" w14:textId="77777777" w:rsidR="008423E4" w:rsidRDefault="008423E4" w:rsidP="00CD02DC"/>
    <w:p w14:paraId="7CD1BEFD" w14:textId="77777777" w:rsidR="008423E4" w:rsidRDefault="008423E4" w:rsidP="00CD02D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03B1F" w14:paraId="202E3A88" w14:textId="77777777" w:rsidTr="00345119">
        <w:tc>
          <w:tcPr>
            <w:tcW w:w="9576" w:type="dxa"/>
          </w:tcPr>
          <w:p w14:paraId="1598EBFF" w14:textId="77777777" w:rsidR="008423E4" w:rsidRPr="00A8133F" w:rsidRDefault="00FC31C0" w:rsidP="00CD02D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6A25866" w14:textId="77777777" w:rsidR="008423E4" w:rsidRDefault="008423E4" w:rsidP="00CD02DC"/>
          <w:p w14:paraId="080DAE25" w14:textId="5C934E9D" w:rsidR="00C06177" w:rsidRDefault="00FC31C0" w:rsidP="00CD02DC">
            <w:pPr>
              <w:pStyle w:val="Header"/>
              <w:jc w:val="both"/>
            </w:pPr>
            <w:r w:rsidRPr="00C06177">
              <w:t xml:space="preserve">While </w:t>
            </w:r>
            <w:r>
              <w:t>the</w:t>
            </w:r>
            <w:r w:rsidRPr="00C06177">
              <w:t xml:space="preserve"> membership</w:t>
            </w:r>
            <w:r>
              <w:t xml:space="preserve"> o</w:t>
            </w:r>
            <w:r w:rsidRPr="00C06177">
              <w:t>f the board governing the Texas Indigent Defense Commission</w:t>
            </w:r>
            <w:r>
              <w:t xml:space="preserve"> (TIDC)</w:t>
            </w:r>
            <w:r w:rsidRPr="00C06177">
              <w:t xml:space="preserve"> includes judges, a defense lawyer, and </w:t>
            </w:r>
            <w:r w:rsidR="003B32CB">
              <w:t xml:space="preserve">a </w:t>
            </w:r>
            <w:r w:rsidRPr="00C06177">
              <w:t>chief public defender, a representative from a managed assigned counsel</w:t>
            </w:r>
            <w:r w:rsidR="00021652">
              <w:t xml:space="preserve"> (MAC)</w:t>
            </w:r>
            <w:r w:rsidRPr="00C06177">
              <w:t xml:space="preserve"> program is not included</w:t>
            </w:r>
            <w:r w:rsidR="000B5C24">
              <w:t xml:space="preserve">, even though TIDC </w:t>
            </w:r>
            <w:r w:rsidR="000B5C24" w:rsidRPr="00C06177">
              <w:t>has many cases that involve</w:t>
            </w:r>
            <w:r w:rsidR="000B5C24">
              <w:t xml:space="preserve"> indigent defendants who are represented by </w:t>
            </w:r>
            <w:r w:rsidR="000B5C24" w:rsidRPr="00C06177">
              <w:t>attorne</w:t>
            </w:r>
            <w:r w:rsidR="000B5C24">
              <w:t>ys</w:t>
            </w:r>
            <w:r w:rsidR="000B5C24" w:rsidRPr="00C06177">
              <w:t xml:space="preserve"> from </w:t>
            </w:r>
            <w:r w:rsidR="000B5C24">
              <w:t>MAC</w:t>
            </w:r>
            <w:r w:rsidR="000B5C24" w:rsidRPr="00C06177">
              <w:t xml:space="preserve"> programs.</w:t>
            </w:r>
            <w:r w:rsidR="000B5C24">
              <w:t xml:space="preserve"> </w:t>
            </w:r>
            <w:r w:rsidR="00C40DC8">
              <w:t>H.B.</w:t>
            </w:r>
            <w:r w:rsidR="00761002">
              <w:t> </w:t>
            </w:r>
            <w:r w:rsidR="00C40DC8">
              <w:t>409 seeks t</w:t>
            </w:r>
            <w:r w:rsidR="00F536AE">
              <w:t xml:space="preserve">o include the </w:t>
            </w:r>
            <w:r w:rsidRPr="00C06177">
              <w:t xml:space="preserve">crucial perspective </w:t>
            </w:r>
            <w:r w:rsidR="00F536AE">
              <w:t xml:space="preserve">of </w:t>
            </w:r>
            <w:r w:rsidR="00F536AE" w:rsidRPr="00C06177">
              <w:t>MAC program</w:t>
            </w:r>
            <w:r w:rsidR="00F536AE">
              <w:t xml:space="preserve"> attorneys</w:t>
            </w:r>
            <w:r w:rsidR="00DC45D5">
              <w:t xml:space="preserve"> in TIDC board operations,</w:t>
            </w:r>
            <w:r w:rsidR="00F536AE" w:rsidRPr="00C06177">
              <w:t xml:space="preserve"> </w:t>
            </w:r>
            <w:r w:rsidR="00C40DC8">
              <w:t xml:space="preserve">while </w:t>
            </w:r>
            <w:r>
              <w:t>maintain</w:t>
            </w:r>
            <w:r w:rsidR="00C40DC8">
              <w:t>ing</w:t>
            </w:r>
            <w:r>
              <w:t xml:space="preserve"> an odd number of board members and the current proportion of judicial representation, </w:t>
            </w:r>
            <w:r w:rsidR="00C40DC8">
              <w:t>by expanding</w:t>
            </w:r>
            <w:r w:rsidR="000B5C24">
              <w:t xml:space="preserve"> board</w:t>
            </w:r>
            <w:r w:rsidR="00C40DC8">
              <w:t xml:space="preserve"> membership to include</w:t>
            </w:r>
            <w:r w:rsidR="00C40DC8" w:rsidRPr="00C40DC8">
              <w:t xml:space="preserve"> a director of a MAC program in Texas, along with a member who is a justice of the peace, municipal court judge, or appointed magistrat</w:t>
            </w:r>
            <w:r w:rsidR="00C40DC8">
              <w:t>e</w:t>
            </w:r>
            <w:r w:rsidR="000B5C24">
              <w:t>. H.B.</w:t>
            </w:r>
            <w:r w:rsidR="00761002">
              <w:t> </w:t>
            </w:r>
            <w:r w:rsidR="000B5C24">
              <w:t>409</w:t>
            </w:r>
            <w:r>
              <w:t xml:space="preserve"> also remove</w:t>
            </w:r>
            <w:r w:rsidR="00C40DC8">
              <w:t>s</w:t>
            </w:r>
            <w:r>
              <w:t xml:space="preserve"> language in existing statute </w:t>
            </w:r>
            <w:r w:rsidR="000B5C24">
              <w:t>authorizing the</w:t>
            </w:r>
            <w:r>
              <w:t xml:space="preserve"> chief public defender</w:t>
            </w:r>
            <w:r w:rsidR="000B5C24">
              <w:t xml:space="preserve"> </w:t>
            </w:r>
            <w:r w:rsidR="00DC45D5">
              <w:t xml:space="preserve">to designate </w:t>
            </w:r>
            <w:r w:rsidR="00DC45D5" w:rsidRPr="00DC45D5">
              <w:t>an attorney employed by the</w:t>
            </w:r>
            <w:r w:rsidR="00DC45D5">
              <w:t>ir</w:t>
            </w:r>
            <w:r w:rsidR="00DC45D5" w:rsidRPr="00DC45D5">
              <w:t xml:space="preserve"> office </w:t>
            </w:r>
            <w:r>
              <w:t>to serve on the board</w:t>
            </w:r>
            <w:r w:rsidR="000B5C24">
              <w:t xml:space="preserve"> in their place</w:t>
            </w:r>
            <w:r>
              <w:t xml:space="preserve"> and require</w:t>
            </w:r>
            <w:r w:rsidR="00DC45D5">
              <w:t>s</w:t>
            </w:r>
            <w:r>
              <w:t xml:space="preserve"> a MAC director member to recuse themselves for votes regarding an award of funds to a county that the MAC </w:t>
            </w:r>
            <w:r w:rsidR="00021652">
              <w:t xml:space="preserve">program </w:t>
            </w:r>
            <w:r>
              <w:t>serves, as is the case for a chief public defende</w:t>
            </w:r>
            <w:r>
              <w:t>r serving on the board.</w:t>
            </w:r>
          </w:p>
          <w:p w14:paraId="78F9BF56" w14:textId="06FA3F57" w:rsidR="005D04F9" w:rsidRPr="00E26B13" w:rsidRDefault="005D04F9" w:rsidP="00CD02DC">
            <w:pPr>
              <w:pStyle w:val="Header"/>
              <w:jc w:val="both"/>
              <w:rPr>
                <w:b/>
              </w:rPr>
            </w:pPr>
          </w:p>
        </w:tc>
      </w:tr>
      <w:tr w:rsidR="00303B1F" w14:paraId="1DCDEC1A" w14:textId="77777777" w:rsidTr="00345119">
        <w:tc>
          <w:tcPr>
            <w:tcW w:w="9576" w:type="dxa"/>
          </w:tcPr>
          <w:p w14:paraId="288849A7" w14:textId="77777777" w:rsidR="0017725B" w:rsidRDefault="00FC31C0" w:rsidP="00CD02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7E41C5" w14:textId="77777777" w:rsidR="0017725B" w:rsidRDefault="0017725B" w:rsidP="00CD02DC">
            <w:pPr>
              <w:rPr>
                <w:b/>
                <w:u w:val="single"/>
              </w:rPr>
            </w:pPr>
          </w:p>
          <w:p w14:paraId="2D9E6149" w14:textId="77777777" w:rsidR="0017725B" w:rsidRDefault="00FC31C0" w:rsidP="00CD02D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</w:t>
            </w:r>
            <w:r>
              <w:t>erson for community supervision, parole, or mandatory supervision.</w:t>
            </w:r>
          </w:p>
          <w:p w14:paraId="79ADDB95" w14:textId="61419FDA" w:rsidR="005D04F9" w:rsidRPr="00C85AEC" w:rsidRDefault="005D04F9" w:rsidP="00CD02DC">
            <w:pPr>
              <w:jc w:val="both"/>
            </w:pPr>
          </w:p>
        </w:tc>
      </w:tr>
      <w:tr w:rsidR="00303B1F" w14:paraId="608A4801" w14:textId="77777777" w:rsidTr="00345119">
        <w:tc>
          <w:tcPr>
            <w:tcW w:w="9576" w:type="dxa"/>
          </w:tcPr>
          <w:p w14:paraId="7FE7566B" w14:textId="77777777" w:rsidR="008423E4" w:rsidRPr="00A8133F" w:rsidRDefault="00FC31C0" w:rsidP="00CD02D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8EB30D1" w14:textId="77777777" w:rsidR="008423E4" w:rsidRDefault="008423E4" w:rsidP="00CD02DC"/>
          <w:p w14:paraId="3D1E6D1E" w14:textId="77777777" w:rsidR="008423E4" w:rsidRDefault="00FC31C0" w:rsidP="00CD02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1BCBC23" w14:textId="7A056C73" w:rsidR="005D04F9" w:rsidRPr="00C85AEC" w:rsidRDefault="005D04F9" w:rsidP="00CD02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303B1F" w14:paraId="6A2E6FFA" w14:textId="77777777" w:rsidTr="00345119">
        <w:tc>
          <w:tcPr>
            <w:tcW w:w="9576" w:type="dxa"/>
          </w:tcPr>
          <w:p w14:paraId="33F93E88" w14:textId="77777777" w:rsidR="008423E4" w:rsidRPr="00A8133F" w:rsidRDefault="00FC31C0" w:rsidP="00CD02D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BE0BE05" w14:textId="77777777" w:rsidR="008423E4" w:rsidRDefault="008423E4" w:rsidP="00CD02DC"/>
          <w:p w14:paraId="77E6C51E" w14:textId="415ABA75" w:rsidR="009C36CD" w:rsidRDefault="00FC31C0" w:rsidP="00CD02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9E1172">
              <w:t>409</w:t>
            </w:r>
            <w:r>
              <w:t xml:space="preserve"> amends the Government Code to make the following changes </w:t>
            </w:r>
            <w:r w:rsidR="00146A52">
              <w:t>to the membership</w:t>
            </w:r>
            <w:r w:rsidRPr="004D67E2">
              <w:t xml:space="preserve"> of the</w:t>
            </w:r>
            <w:r w:rsidR="00F866B4">
              <w:t xml:space="preserve"> governing board of the</w:t>
            </w:r>
            <w:r w:rsidRPr="004D67E2">
              <w:t xml:space="preserve"> Texas Indigent Defense Commission</w:t>
            </w:r>
            <w:r w:rsidR="006F1664">
              <w:t xml:space="preserve"> (</w:t>
            </w:r>
            <w:r w:rsidR="006F1664" w:rsidRPr="006F1664">
              <w:t>TIDC</w:t>
            </w:r>
            <w:r w:rsidR="006F1664">
              <w:t>)</w:t>
            </w:r>
            <w:r>
              <w:t>:</w:t>
            </w:r>
          </w:p>
          <w:p w14:paraId="6B25011D" w14:textId="79801E59" w:rsidR="004D67E2" w:rsidRDefault="00FC31C0" w:rsidP="00CD02D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increases the number of </w:t>
            </w:r>
            <w:r w:rsidR="00AC3ED7">
              <w:t xml:space="preserve">appointive </w:t>
            </w:r>
            <w:r>
              <w:t>mem</w:t>
            </w:r>
            <w:r w:rsidR="006F1664">
              <w:t>bers from five to seven;</w:t>
            </w:r>
          </w:p>
          <w:p w14:paraId="25C919DB" w14:textId="1946FDE8" w:rsidR="003F43DD" w:rsidRDefault="00FC31C0" w:rsidP="00CD02D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</w:t>
            </w:r>
            <w:r w:rsidR="00A90343">
              <w:t xml:space="preserve">one </w:t>
            </w:r>
            <w:r>
              <w:t xml:space="preserve">additional member to be a </w:t>
            </w:r>
            <w:r w:rsidRPr="00425624">
              <w:t>director of a managed assigned counsel program</w:t>
            </w:r>
            <w:r>
              <w:t xml:space="preserve"> in Texas; </w:t>
            </w:r>
          </w:p>
          <w:p w14:paraId="6CA77E4B" w14:textId="04E6A9EA" w:rsidR="003F43DD" w:rsidRDefault="00FC31C0" w:rsidP="00CD02D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other additional member to be </w:t>
            </w:r>
            <w:r w:rsidRPr="00425624">
              <w:t xml:space="preserve">a justice of the peace, municipal court judge, or appointed magistrate whose regular duties include presiding over </w:t>
            </w:r>
            <w:r w:rsidRPr="00E44C80">
              <w:t>arraignment</w:t>
            </w:r>
            <w:r>
              <w:t>s f</w:t>
            </w:r>
            <w:r>
              <w:t>or arrests made under warrant; and</w:t>
            </w:r>
          </w:p>
          <w:p w14:paraId="05A8A110" w14:textId="5C3D209B" w:rsidR="004D67E2" w:rsidRDefault="00FC31C0" w:rsidP="00CD02D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removes the option for </w:t>
            </w:r>
            <w:r w:rsidR="00146A52">
              <w:t>the chief public defender in Texas to designate an attorney employed by the public defender's office to serve in the chief public defender's place</w:t>
            </w:r>
            <w:r w:rsidR="003F43DD">
              <w:t>.</w:t>
            </w:r>
          </w:p>
          <w:p w14:paraId="70CD35EB" w14:textId="77777777" w:rsidR="00CE12CB" w:rsidRDefault="00CE12CB" w:rsidP="00CD02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37F34C8" w14:textId="5A3F2327" w:rsidR="003F43DD" w:rsidRDefault="00FC31C0" w:rsidP="00CD02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9E1172">
              <w:t>409</w:t>
            </w:r>
            <w:r w:rsidR="000255EB">
              <w:t xml:space="preserve"> retains the current</w:t>
            </w:r>
            <w:r w:rsidR="00CE12CB">
              <w:t xml:space="preserve"> </w:t>
            </w:r>
            <w:r w:rsidR="00D70E48">
              <w:t>s</w:t>
            </w:r>
            <w:r w:rsidR="000255EB">
              <w:t>taggering</w:t>
            </w:r>
            <w:r w:rsidR="00D70E48">
              <w:t xml:space="preserve"> </w:t>
            </w:r>
            <w:r w:rsidR="000255EB">
              <w:t xml:space="preserve">of </w:t>
            </w:r>
            <w:r w:rsidR="009946A1">
              <w:t xml:space="preserve">TIDC board </w:t>
            </w:r>
            <w:r w:rsidR="000255EB">
              <w:t xml:space="preserve">member terms by including </w:t>
            </w:r>
            <w:r w:rsidR="00CE12CB">
              <w:t xml:space="preserve">one </w:t>
            </w:r>
            <w:r w:rsidR="000255EB">
              <w:t>of the newly</w:t>
            </w:r>
            <w:r w:rsidR="00545C0B">
              <w:t xml:space="preserve"> </w:t>
            </w:r>
            <w:r w:rsidR="000255EB">
              <w:t xml:space="preserve">added </w:t>
            </w:r>
            <w:r w:rsidR="001A763D">
              <w:t xml:space="preserve">board </w:t>
            </w:r>
            <w:r w:rsidR="00CE12CB">
              <w:t>member</w:t>
            </w:r>
            <w:r w:rsidR="000255EB">
              <w:t>s among the members whose</w:t>
            </w:r>
            <w:r w:rsidR="00D70E48">
              <w:t xml:space="preserve"> </w:t>
            </w:r>
            <w:r w:rsidR="00CE12CB">
              <w:t>two-year term</w:t>
            </w:r>
            <w:r w:rsidR="00D70E48">
              <w:t xml:space="preserve"> </w:t>
            </w:r>
            <w:r w:rsidR="000255EB">
              <w:t xml:space="preserve">of office </w:t>
            </w:r>
            <w:r w:rsidR="00D70E48">
              <w:t>expir</w:t>
            </w:r>
            <w:r w:rsidR="000255EB">
              <w:t>es</w:t>
            </w:r>
            <w:r w:rsidR="00D70E48">
              <w:t xml:space="preserve"> February 1 of each odd</w:t>
            </w:r>
            <w:r w:rsidR="00D70E48">
              <w:noBreakHyphen/>
              <w:t xml:space="preserve">numbered year and </w:t>
            </w:r>
            <w:r w:rsidR="009946A1">
              <w:t xml:space="preserve">by </w:t>
            </w:r>
            <w:r w:rsidR="000255EB">
              <w:t>including the other newly</w:t>
            </w:r>
            <w:r w:rsidR="00545C0B">
              <w:t xml:space="preserve"> </w:t>
            </w:r>
            <w:r w:rsidR="000255EB">
              <w:t>added</w:t>
            </w:r>
            <w:r w:rsidR="00D70E48">
              <w:t xml:space="preserve"> </w:t>
            </w:r>
            <w:r w:rsidR="00C3229D">
              <w:t xml:space="preserve">board </w:t>
            </w:r>
            <w:r w:rsidR="00D70E48">
              <w:t xml:space="preserve">member </w:t>
            </w:r>
            <w:r w:rsidR="000255EB">
              <w:t xml:space="preserve">among the members whose </w:t>
            </w:r>
            <w:r w:rsidR="00D70E48">
              <w:t xml:space="preserve">two-year term </w:t>
            </w:r>
            <w:r w:rsidR="000255EB">
              <w:t xml:space="preserve">of office expires </w:t>
            </w:r>
            <w:r w:rsidR="00D70E48">
              <w:t>February 1 of each even</w:t>
            </w:r>
            <w:r w:rsidR="00D70E48">
              <w:noBreakHyphen/>
              <w:t>numbered year</w:t>
            </w:r>
            <w:r w:rsidR="00CE12CB">
              <w:t xml:space="preserve">. </w:t>
            </w:r>
            <w:r>
              <w:t>With respect to the TIDC</w:t>
            </w:r>
            <w:r w:rsidR="003C39ED">
              <w:t xml:space="preserve"> board</w:t>
            </w:r>
            <w:r w:rsidR="006F1664">
              <w:t xml:space="preserve"> member who is </w:t>
            </w:r>
            <w:r w:rsidR="006F1664" w:rsidRPr="006F1664">
              <w:t>a director of a managed assigned counsel program</w:t>
            </w:r>
            <w:r>
              <w:t>, if the program is</w:t>
            </w:r>
            <w:r w:rsidR="006F1664">
              <w:t xml:space="preserve"> for an entity that applies for funds from </w:t>
            </w:r>
            <w:r w:rsidR="006F1664" w:rsidRPr="006F1664">
              <w:t>TIDC</w:t>
            </w:r>
            <w:r>
              <w:t>, the bill does the following:</w:t>
            </w:r>
            <w:r w:rsidR="006F1664" w:rsidRPr="006F1664">
              <w:t xml:space="preserve"> </w:t>
            </w:r>
          </w:p>
          <w:p w14:paraId="4C33D75C" w14:textId="1C08C7C1" w:rsidR="006F1664" w:rsidRDefault="00FC31C0" w:rsidP="00CD02D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</w:t>
            </w:r>
            <w:r>
              <w:t xml:space="preserve">member to disclose that fact </w:t>
            </w:r>
            <w:r w:rsidRPr="006F1664">
              <w:t>before a vote by the board regarding a</w:t>
            </w:r>
            <w:r w:rsidR="00C85AEC">
              <w:t>n award of funds to that entity</w:t>
            </w:r>
            <w:r>
              <w:t xml:space="preserve"> and prohibits that member from participating in that vote; and</w:t>
            </w:r>
          </w:p>
          <w:p w14:paraId="35424EDC" w14:textId="62B166BA" w:rsidR="008423E4" w:rsidRDefault="00FC31C0" w:rsidP="00CD02D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prohibits </w:t>
            </w:r>
            <w:r w:rsidRPr="006F1664">
              <w:t>TIDC</w:t>
            </w:r>
            <w:r>
              <w:t xml:space="preserve"> from awarding funds to</w:t>
            </w:r>
            <w:r w:rsidR="003E0BDE">
              <w:t xml:space="preserve"> an entity served by</w:t>
            </w:r>
            <w:r>
              <w:t xml:space="preserve"> such a member who fails to make that disclosure.</w:t>
            </w:r>
          </w:p>
          <w:p w14:paraId="7BD9B62A" w14:textId="13656E39" w:rsidR="003F43DD" w:rsidRPr="00C85AEC" w:rsidRDefault="003F43DD" w:rsidP="00CD02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303B1F" w14:paraId="3DA8B39E" w14:textId="77777777" w:rsidTr="00345119">
        <w:tc>
          <w:tcPr>
            <w:tcW w:w="9576" w:type="dxa"/>
          </w:tcPr>
          <w:p w14:paraId="128ABA71" w14:textId="77777777" w:rsidR="008423E4" w:rsidRPr="00A8133F" w:rsidRDefault="00FC31C0" w:rsidP="00CD02D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F1F34C0" w14:textId="77777777" w:rsidR="008423E4" w:rsidRDefault="008423E4" w:rsidP="00CD02DC"/>
          <w:p w14:paraId="1B379054" w14:textId="02704904" w:rsidR="008423E4" w:rsidRPr="00C85AEC" w:rsidRDefault="00FC31C0" w:rsidP="00CD02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9E1172">
              <w:t>3</w:t>
            </w:r>
            <w:r>
              <w:t>.</w:t>
            </w:r>
          </w:p>
        </w:tc>
      </w:tr>
    </w:tbl>
    <w:p w14:paraId="0BFF8AB8" w14:textId="77777777" w:rsidR="008423E4" w:rsidRPr="00BE0E75" w:rsidRDefault="008423E4" w:rsidP="00CD02DC">
      <w:pPr>
        <w:jc w:val="both"/>
        <w:rPr>
          <w:rFonts w:ascii="Arial" w:hAnsi="Arial"/>
          <w:sz w:val="16"/>
          <w:szCs w:val="16"/>
        </w:rPr>
      </w:pPr>
    </w:p>
    <w:p w14:paraId="657971E9" w14:textId="77777777" w:rsidR="004108C3" w:rsidRPr="008423E4" w:rsidRDefault="004108C3" w:rsidP="00CD02D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1592" w14:textId="77777777" w:rsidR="00000000" w:rsidRDefault="00FC31C0">
      <w:r>
        <w:separator/>
      </w:r>
    </w:p>
  </w:endnote>
  <w:endnote w:type="continuationSeparator" w:id="0">
    <w:p w14:paraId="22FF7830" w14:textId="77777777" w:rsidR="00000000" w:rsidRDefault="00F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765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03B1F" w14:paraId="644EFE57" w14:textId="77777777" w:rsidTr="009C1E9A">
      <w:trPr>
        <w:cantSplit/>
      </w:trPr>
      <w:tc>
        <w:tcPr>
          <w:tcW w:w="0" w:type="pct"/>
        </w:tcPr>
        <w:p w14:paraId="789891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1194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71CF4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2A3A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92179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3B1F" w14:paraId="0A1FC50B" w14:textId="77777777" w:rsidTr="009C1E9A">
      <w:trPr>
        <w:cantSplit/>
      </w:trPr>
      <w:tc>
        <w:tcPr>
          <w:tcW w:w="0" w:type="pct"/>
        </w:tcPr>
        <w:p w14:paraId="458044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DEDCC0" w14:textId="650CD065" w:rsidR="00EC379B" w:rsidRPr="009C1E9A" w:rsidRDefault="00FC31C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20566-D</w:t>
          </w:r>
        </w:p>
      </w:tc>
      <w:tc>
        <w:tcPr>
          <w:tcW w:w="2453" w:type="pct"/>
        </w:tcPr>
        <w:p w14:paraId="54C7A55D" w14:textId="43346EED" w:rsidR="00EC379B" w:rsidRDefault="00FC31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C3BB6">
            <w:t>23.86.658</w:t>
          </w:r>
          <w:r>
            <w:fldChar w:fldCharType="end"/>
          </w:r>
        </w:p>
      </w:tc>
    </w:tr>
    <w:tr w:rsidR="00303B1F" w14:paraId="52126F12" w14:textId="77777777" w:rsidTr="009C1E9A">
      <w:trPr>
        <w:cantSplit/>
      </w:trPr>
      <w:tc>
        <w:tcPr>
          <w:tcW w:w="0" w:type="pct"/>
        </w:tcPr>
        <w:p w14:paraId="7FD6EBD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321B34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EE86CE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5A6FB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3B1F" w14:paraId="1774108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83BE11A" w14:textId="3582AA5A" w:rsidR="00EC379B" w:rsidRDefault="00FC31C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5297F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1C377A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AA952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F89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05D8" w14:textId="77777777" w:rsidR="00000000" w:rsidRDefault="00FC31C0">
      <w:r>
        <w:separator/>
      </w:r>
    </w:p>
  </w:footnote>
  <w:footnote w:type="continuationSeparator" w:id="0">
    <w:p w14:paraId="35825E0D" w14:textId="77777777" w:rsidR="00000000" w:rsidRDefault="00FC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4D2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5A49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00A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591"/>
    <w:multiLevelType w:val="hybridMultilevel"/>
    <w:tmpl w:val="000C48F2"/>
    <w:lvl w:ilvl="0" w:tplc="6FACA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A9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A7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A9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A5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62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E7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D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C9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F6BD8"/>
    <w:multiLevelType w:val="hybridMultilevel"/>
    <w:tmpl w:val="0572414E"/>
    <w:lvl w:ilvl="0" w:tplc="FFECA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9ED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A9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6F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67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F2B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D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E3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164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C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652"/>
    <w:rsid w:val="000236C1"/>
    <w:rsid w:val="000236EC"/>
    <w:rsid w:val="0002413D"/>
    <w:rsid w:val="000249F2"/>
    <w:rsid w:val="000255EB"/>
    <w:rsid w:val="00027E81"/>
    <w:rsid w:val="00030AD8"/>
    <w:rsid w:val="0003107A"/>
    <w:rsid w:val="00031C95"/>
    <w:rsid w:val="000330D4"/>
    <w:rsid w:val="000333EE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5C24"/>
    <w:rsid w:val="000B6090"/>
    <w:rsid w:val="000B6FEE"/>
    <w:rsid w:val="000C12C4"/>
    <w:rsid w:val="000C49DA"/>
    <w:rsid w:val="000C4B3D"/>
    <w:rsid w:val="000C63FA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A52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97D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63D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1D2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1B34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11B"/>
    <w:rsid w:val="002A48DF"/>
    <w:rsid w:val="002A5A84"/>
    <w:rsid w:val="002A6E6F"/>
    <w:rsid w:val="002A74E4"/>
    <w:rsid w:val="002A7CFE"/>
    <w:rsid w:val="002B0EF4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D09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3B1F"/>
    <w:rsid w:val="0030459C"/>
    <w:rsid w:val="003127D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186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C1E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2CB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9ED"/>
    <w:rsid w:val="003C664C"/>
    <w:rsid w:val="003D726D"/>
    <w:rsid w:val="003E0875"/>
    <w:rsid w:val="003E0BB8"/>
    <w:rsid w:val="003E0BDE"/>
    <w:rsid w:val="003E6CB0"/>
    <w:rsid w:val="003F1F5E"/>
    <w:rsid w:val="003F286A"/>
    <w:rsid w:val="003F43DD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5624"/>
    <w:rsid w:val="0043190E"/>
    <w:rsid w:val="004324E9"/>
    <w:rsid w:val="004350F3"/>
    <w:rsid w:val="00436980"/>
    <w:rsid w:val="00441016"/>
    <w:rsid w:val="00441F2F"/>
    <w:rsid w:val="0044228B"/>
    <w:rsid w:val="00444BA2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6920"/>
    <w:rsid w:val="00467DCF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7E2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31E"/>
    <w:rsid w:val="005363BB"/>
    <w:rsid w:val="00541B98"/>
    <w:rsid w:val="00543374"/>
    <w:rsid w:val="00545548"/>
    <w:rsid w:val="00545C0B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EA0"/>
    <w:rsid w:val="005B031F"/>
    <w:rsid w:val="005B3298"/>
    <w:rsid w:val="005B5516"/>
    <w:rsid w:val="005B5D2B"/>
    <w:rsid w:val="005C0523"/>
    <w:rsid w:val="005C1496"/>
    <w:rsid w:val="005C17C5"/>
    <w:rsid w:val="005C2B21"/>
    <w:rsid w:val="005C2C00"/>
    <w:rsid w:val="005C3BB6"/>
    <w:rsid w:val="005C4C6F"/>
    <w:rsid w:val="005C5127"/>
    <w:rsid w:val="005C7CCB"/>
    <w:rsid w:val="005D04F9"/>
    <w:rsid w:val="005D1444"/>
    <w:rsid w:val="005D4DAE"/>
    <w:rsid w:val="005D5892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4A"/>
    <w:rsid w:val="006B2B8C"/>
    <w:rsid w:val="006B2DEB"/>
    <w:rsid w:val="006B54C5"/>
    <w:rsid w:val="006B5E80"/>
    <w:rsid w:val="006B64B7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664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5E1"/>
    <w:rsid w:val="00743C4C"/>
    <w:rsid w:val="007445B7"/>
    <w:rsid w:val="00744920"/>
    <w:rsid w:val="007509BE"/>
    <w:rsid w:val="0075287B"/>
    <w:rsid w:val="00755C7B"/>
    <w:rsid w:val="00761002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72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D0F"/>
    <w:rsid w:val="0085797D"/>
    <w:rsid w:val="00860020"/>
    <w:rsid w:val="008618E7"/>
    <w:rsid w:val="00861995"/>
    <w:rsid w:val="0086231A"/>
    <w:rsid w:val="0086477C"/>
    <w:rsid w:val="00864BAD"/>
    <w:rsid w:val="00866C56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62E0"/>
    <w:rsid w:val="008B7785"/>
    <w:rsid w:val="008C0809"/>
    <w:rsid w:val="008C132C"/>
    <w:rsid w:val="008C3F69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01A9"/>
    <w:rsid w:val="00901670"/>
    <w:rsid w:val="00902212"/>
    <w:rsid w:val="00903E0A"/>
    <w:rsid w:val="00904721"/>
    <w:rsid w:val="00906D1A"/>
    <w:rsid w:val="00907780"/>
    <w:rsid w:val="00907EDD"/>
    <w:rsid w:val="009107AD"/>
    <w:rsid w:val="00914AC6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262"/>
    <w:rsid w:val="00987F00"/>
    <w:rsid w:val="0099403D"/>
    <w:rsid w:val="009946A1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172"/>
    <w:rsid w:val="009E13BF"/>
    <w:rsid w:val="009E3631"/>
    <w:rsid w:val="009E38F7"/>
    <w:rsid w:val="009E3EB9"/>
    <w:rsid w:val="009E69C2"/>
    <w:rsid w:val="009E70AF"/>
    <w:rsid w:val="009E75D1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4F4"/>
    <w:rsid w:val="00A3420E"/>
    <w:rsid w:val="00A34C81"/>
    <w:rsid w:val="00A35D66"/>
    <w:rsid w:val="00A37424"/>
    <w:rsid w:val="00A41085"/>
    <w:rsid w:val="00A425FA"/>
    <w:rsid w:val="00A43960"/>
    <w:rsid w:val="00A46902"/>
    <w:rsid w:val="00A50CDB"/>
    <w:rsid w:val="00A51F3E"/>
    <w:rsid w:val="00A5297F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343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ED7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721"/>
    <w:rsid w:val="00BA4D5D"/>
    <w:rsid w:val="00BA5A2D"/>
    <w:rsid w:val="00BB5B36"/>
    <w:rsid w:val="00BC027B"/>
    <w:rsid w:val="00BC0482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5C4"/>
    <w:rsid w:val="00BF4949"/>
    <w:rsid w:val="00BF4D7C"/>
    <w:rsid w:val="00BF5085"/>
    <w:rsid w:val="00C013F4"/>
    <w:rsid w:val="00C040AB"/>
    <w:rsid w:val="00C0499B"/>
    <w:rsid w:val="00C05406"/>
    <w:rsid w:val="00C05CF0"/>
    <w:rsid w:val="00C06177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29D"/>
    <w:rsid w:val="00C333C6"/>
    <w:rsid w:val="00C35CC5"/>
    <w:rsid w:val="00C361C5"/>
    <w:rsid w:val="00C377D1"/>
    <w:rsid w:val="00C37BDA"/>
    <w:rsid w:val="00C37C84"/>
    <w:rsid w:val="00C40DC8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AEC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2DC"/>
    <w:rsid w:val="00CD06CA"/>
    <w:rsid w:val="00CD076A"/>
    <w:rsid w:val="00CD109A"/>
    <w:rsid w:val="00CD180C"/>
    <w:rsid w:val="00CD37DA"/>
    <w:rsid w:val="00CD4F2C"/>
    <w:rsid w:val="00CD731C"/>
    <w:rsid w:val="00CE08E8"/>
    <w:rsid w:val="00CE12CB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10C"/>
    <w:rsid w:val="00D22160"/>
    <w:rsid w:val="00D22172"/>
    <w:rsid w:val="00D2301B"/>
    <w:rsid w:val="00D239EE"/>
    <w:rsid w:val="00D30534"/>
    <w:rsid w:val="00D32460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E48"/>
    <w:rsid w:val="00D71ED5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5D5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F87"/>
    <w:rsid w:val="00E1228E"/>
    <w:rsid w:val="00E13374"/>
    <w:rsid w:val="00E14079"/>
    <w:rsid w:val="00E148FC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C80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8AE"/>
    <w:rsid w:val="00E70CC6"/>
    <w:rsid w:val="00E71254"/>
    <w:rsid w:val="00E73CCD"/>
    <w:rsid w:val="00E7575B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0A46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A8E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36AE"/>
    <w:rsid w:val="00F5605D"/>
    <w:rsid w:val="00F6514B"/>
    <w:rsid w:val="00F6587F"/>
    <w:rsid w:val="00F67981"/>
    <w:rsid w:val="00F67A5D"/>
    <w:rsid w:val="00F706CA"/>
    <w:rsid w:val="00F70F8D"/>
    <w:rsid w:val="00F71C5A"/>
    <w:rsid w:val="00F733A4"/>
    <w:rsid w:val="00F7758F"/>
    <w:rsid w:val="00F82811"/>
    <w:rsid w:val="00F84153"/>
    <w:rsid w:val="00F85661"/>
    <w:rsid w:val="00F866B4"/>
    <w:rsid w:val="00F96602"/>
    <w:rsid w:val="00F9735A"/>
    <w:rsid w:val="00FA32FC"/>
    <w:rsid w:val="00FA59FD"/>
    <w:rsid w:val="00FA5D8C"/>
    <w:rsid w:val="00FA6403"/>
    <w:rsid w:val="00FB16CD"/>
    <w:rsid w:val="00FB73AE"/>
    <w:rsid w:val="00FC31C0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CC2D5A-2C28-4494-B57F-A842A67E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85A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5A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5A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5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5AEC"/>
    <w:rPr>
      <w:b/>
      <w:bCs/>
    </w:rPr>
  </w:style>
  <w:style w:type="paragraph" w:styleId="Revision">
    <w:name w:val="Revision"/>
    <w:hidden/>
    <w:uiPriority w:val="99"/>
    <w:semiHidden/>
    <w:rsid w:val="005C0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2744</Characters>
  <Application>Microsoft Office Word</Application>
  <DocSecurity>4</DocSecurity>
  <Lines>67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HB00409 (Committee Report (Unamended))</vt:lpstr>
    </vt:vector>
  </TitlesOfParts>
  <Company>State of Texas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20566</dc:subject>
  <dc:creator>State of Texas</dc:creator>
  <dc:description>HB 409 by Collier-(H)Criminal Jurisprudence</dc:description>
  <cp:lastModifiedBy>Damian Duarte</cp:lastModifiedBy>
  <cp:revision>2</cp:revision>
  <cp:lastPrinted>2003-11-26T17:21:00Z</cp:lastPrinted>
  <dcterms:created xsi:type="dcterms:W3CDTF">2023-03-27T22:52:00Z</dcterms:created>
  <dcterms:modified xsi:type="dcterms:W3CDTF">2023-03-27T22:52:00Z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23.86.658</vt:lpwstr>
  </property>
</Properties>
</file>