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825AB" w14:paraId="02B7AC54" w14:textId="77777777" w:rsidTr="00345119">
        <w:tc>
          <w:tcPr>
            <w:tcW w:w="9576" w:type="dxa"/>
            <w:noWrap/>
          </w:tcPr>
          <w:p w14:paraId="0BBD92DC" w14:textId="77777777" w:rsidR="008423E4" w:rsidRPr="0022177D" w:rsidRDefault="0000393B" w:rsidP="00C007AC">
            <w:pPr>
              <w:pStyle w:val="Heading1"/>
            </w:pPr>
            <w:r w:rsidRPr="00631897">
              <w:t>BILL ANALYSIS</w:t>
            </w:r>
          </w:p>
        </w:tc>
      </w:tr>
    </w:tbl>
    <w:p w14:paraId="5B5AD4C3" w14:textId="77777777" w:rsidR="008423E4" w:rsidRPr="00151868" w:rsidRDefault="008423E4" w:rsidP="00C007AC">
      <w:pPr>
        <w:jc w:val="center"/>
        <w:rPr>
          <w:sz w:val="20"/>
          <w:szCs w:val="20"/>
        </w:rPr>
      </w:pPr>
    </w:p>
    <w:p w14:paraId="46A11574" w14:textId="77777777" w:rsidR="008423E4" w:rsidRPr="00151868" w:rsidRDefault="008423E4" w:rsidP="00C007AC">
      <w:pPr>
        <w:rPr>
          <w:sz w:val="20"/>
          <w:szCs w:val="20"/>
        </w:rPr>
      </w:pPr>
    </w:p>
    <w:p w14:paraId="2CC0E7FF" w14:textId="77777777" w:rsidR="008423E4" w:rsidRPr="00151868" w:rsidRDefault="008423E4" w:rsidP="00C007AC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825AB" w14:paraId="751B2ADF" w14:textId="77777777" w:rsidTr="00345119">
        <w:tc>
          <w:tcPr>
            <w:tcW w:w="9576" w:type="dxa"/>
          </w:tcPr>
          <w:p w14:paraId="7F90E7D7" w14:textId="222C4B4E" w:rsidR="008423E4" w:rsidRPr="00861995" w:rsidRDefault="0000393B" w:rsidP="00C007AC">
            <w:pPr>
              <w:jc w:val="right"/>
            </w:pPr>
            <w:r>
              <w:t>C.S.H.B. 423</w:t>
            </w:r>
          </w:p>
        </w:tc>
      </w:tr>
      <w:tr w:rsidR="004825AB" w14:paraId="35ED5FEF" w14:textId="77777777" w:rsidTr="00345119">
        <w:tc>
          <w:tcPr>
            <w:tcW w:w="9576" w:type="dxa"/>
          </w:tcPr>
          <w:p w14:paraId="2E48B250" w14:textId="53A18C78" w:rsidR="008423E4" w:rsidRPr="00861995" w:rsidRDefault="0000393B" w:rsidP="00C007AC">
            <w:pPr>
              <w:jc w:val="right"/>
            </w:pPr>
            <w:r>
              <w:t xml:space="preserve">By: </w:t>
            </w:r>
            <w:r w:rsidR="00D04ADC">
              <w:t>Lopez, Ray</w:t>
            </w:r>
          </w:p>
        </w:tc>
      </w:tr>
      <w:tr w:rsidR="004825AB" w14:paraId="2BCC4D5B" w14:textId="77777777" w:rsidTr="00345119">
        <w:tc>
          <w:tcPr>
            <w:tcW w:w="9576" w:type="dxa"/>
          </w:tcPr>
          <w:p w14:paraId="6E86287E" w14:textId="4B885377" w:rsidR="008423E4" w:rsidRPr="00861995" w:rsidRDefault="0000393B" w:rsidP="00C007AC">
            <w:pPr>
              <w:jc w:val="right"/>
            </w:pPr>
            <w:r>
              <w:t>Human Services</w:t>
            </w:r>
          </w:p>
        </w:tc>
      </w:tr>
      <w:tr w:rsidR="004825AB" w14:paraId="0A0831CE" w14:textId="77777777" w:rsidTr="00345119">
        <w:tc>
          <w:tcPr>
            <w:tcW w:w="9576" w:type="dxa"/>
          </w:tcPr>
          <w:p w14:paraId="57C05EF8" w14:textId="6EEA227E" w:rsidR="008423E4" w:rsidRDefault="0000393B" w:rsidP="00C007AC">
            <w:pPr>
              <w:jc w:val="right"/>
            </w:pPr>
            <w:r>
              <w:t>Committee Report (Substituted)</w:t>
            </w:r>
          </w:p>
        </w:tc>
      </w:tr>
    </w:tbl>
    <w:p w14:paraId="776B59EA" w14:textId="77777777" w:rsidR="008423E4" w:rsidRPr="00151868" w:rsidRDefault="008423E4" w:rsidP="00C007AC">
      <w:pPr>
        <w:tabs>
          <w:tab w:val="right" w:pos="9360"/>
        </w:tabs>
        <w:rPr>
          <w:sz w:val="20"/>
          <w:szCs w:val="20"/>
        </w:rPr>
      </w:pPr>
    </w:p>
    <w:p w14:paraId="6C655B0B" w14:textId="77777777" w:rsidR="008423E4" w:rsidRPr="00151868" w:rsidRDefault="008423E4" w:rsidP="00C007AC">
      <w:pPr>
        <w:rPr>
          <w:sz w:val="20"/>
          <w:szCs w:val="20"/>
        </w:rPr>
      </w:pPr>
    </w:p>
    <w:p w14:paraId="0762AAB6" w14:textId="77777777" w:rsidR="008423E4" w:rsidRPr="00151868" w:rsidRDefault="008423E4" w:rsidP="00C007AC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825AB" w14:paraId="17BA3D9F" w14:textId="77777777" w:rsidTr="004303B6">
        <w:tc>
          <w:tcPr>
            <w:tcW w:w="9360" w:type="dxa"/>
          </w:tcPr>
          <w:p w14:paraId="6F3BC961" w14:textId="77777777" w:rsidR="008423E4" w:rsidRPr="00A8133F" w:rsidRDefault="0000393B" w:rsidP="00C007A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3A97018" w14:textId="77777777" w:rsidR="008423E4" w:rsidRPr="00151868" w:rsidRDefault="008423E4" w:rsidP="00C007AC">
            <w:pPr>
              <w:rPr>
                <w:sz w:val="20"/>
                <w:szCs w:val="20"/>
              </w:rPr>
            </w:pPr>
          </w:p>
          <w:p w14:paraId="763E2B3F" w14:textId="3EC81CFD" w:rsidR="008423E4" w:rsidRDefault="0000393B" w:rsidP="00C007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R</w:t>
            </w:r>
            <w:r w:rsidR="004F51F4" w:rsidRPr="004F51F4">
              <w:t>ising child</w:t>
            </w:r>
            <w:r>
              <w:t>-</w:t>
            </w:r>
            <w:r w:rsidR="004F51F4" w:rsidRPr="004F51F4">
              <w:t>care costs have made it difficult for working families to have access to adequate and affordable child</w:t>
            </w:r>
            <w:r w:rsidR="00DF6ABB">
              <w:t xml:space="preserve"> </w:t>
            </w:r>
            <w:r w:rsidR="004F51F4" w:rsidRPr="004F51F4">
              <w:t xml:space="preserve">care. </w:t>
            </w:r>
            <w:r>
              <w:t>A</w:t>
            </w:r>
            <w:r w:rsidR="004F51F4" w:rsidRPr="004F51F4">
              <w:t>n inability to afford child</w:t>
            </w:r>
            <w:r>
              <w:t xml:space="preserve"> </w:t>
            </w:r>
            <w:r w:rsidR="004F51F4" w:rsidRPr="004F51F4">
              <w:t>care has resulted in parents leaving the workforce or relying on unlicensed and often dangerous child</w:t>
            </w:r>
            <w:r>
              <w:t>-</w:t>
            </w:r>
            <w:r w:rsidR="004F51F4" w:rsidRPr="004F51F4">
              <w:t xml:space="preserve">care facilities. Legislative action must be taken to relieve families of </w:t>
            </w:r>
            <w:r>
              <w:t xml:space="preserve">the </w:t>
            </w:r>
            <w:r w:rsidR="004F51F4" w:rsidRPr="004F51F4">
              <w:t xml:space="preserve">financial burdens </w:t>
            </w:r>
            <w:r>
              <w:t>associated with quality</w:t>
            </w:r>
            <w:r w:rsidR="004F51F4" w:rsidRPr="004F51F4">
              <w:t xml:space="preserve"> child</w:t>
            </w:r>
            <w:r>
              <w:t xml:space="preserve"> </w:t>
            </w:r>
            <w:r w:rsidR="004F51F4" w:rsidRPr="004F51F4">
              <w:t xml:space="preserve">care. A study on </w:t>
            </w:r>
            <w:r w:rsidR="00DF6ABB">
              <w:t>the cost of child care in Texas in comparison to family income</w:t>
            </w:r>
            <w:r w:rsidR="004F51F4" w:rsidRPr="004F51F4">
              <w:t xml:space="preserve"> is the first step toward legislative action in future sessions</w:t>
            </w:r>
            <w:r>
              <w:t xml:space="preserve"> and C.S.</w:t>
            </w:r>
            <w:r w:rsidR="004F51F4" w:rsidRPr="004F51F4">
              <w:t>H</w:t>
            </w:r>
            <w:r>
              <w:t>.</w:t>
            </w:r>
            <w:r w:rsidR="004F51F4" w:rsidRPr="004F51F4">
              <w:t>B</w:t>
            </w:r>
            <w:r>
              <w:t>.</w:t>
            </w:r>
            <w:r w:rsidR="004F51F4" w:rsidRPr="004F51F4">
              <w:t xml:space="preserve"> 423 </w:t>
            </w:r>
            <w:r>
              <w:t>seeks to provide for such</w:t>
            </w:r>
            <w:r w:rsidRPr="004F51F4">
              <w:t xml:space="preserve"> </w:t>
            </w:r>
            <w:r w:rsidR="004F51F4" w:rsidRPr="004F51F4">
              <w:t xml:space="preserve">a study. </w:t>
            </w:r>
          </w:p>
          <w:p w14:paraId="4A0E0A9E" w14:textId="77777777" w:rsidR="008423E4" w:rsidRPr="00E26B13" w:rsidRDefault="008423E4" w:rsidP="00C007AC">
            <w:pPr>
              <w:rPr>
                <w:b/>
              </w:rPr>
            </w:pPr>
          </w:p>
        </w:tc>
      </w:tr>
      <w:tr w:rsidR="004825AB" w14:paraId="7C1A0507" w14:textId="77777777" w:rsidTr="004303B6">
        <w:tc>
          <w:tcPr>
            <w:tcW w:w="9360" w:type="dxa"/>
          </w:tcPr>
          <w:p w14:paraId="5EDAB7A7" w14:textId="77777777" w:rsidR="0017725B" w:rsidRDefault="0000393B" w:rsidP="00C007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7C47908" w14:textId="77777777" w:rsidR="0017725B" w:rsidRPr="00151868" w:rsidRDefault="0017725B" w:rsidP="00C007AC">
            <w:pPr>
              <w:rPr>
                <w:bCs/>
                <w:sz w:val="20"/>
                <w:szCs w:val="20"/>
              </w:rPr>
            </w:pPr>
          </w:p>
          <w:p w14:paraId="7DB1ACA9" w14:textId="2439DB70" w:rsidR="00D460B3" w:rsidRPr="00D460B3" w:rsidRDefault="0000393B" w:rsidP="00C007AC">
            <w:pPr>
              <w:jc w:val="both"/>
            </w:pPr>
            <w:r>
              <w:t xml:space="preserve">It is the committee's opinion </w:t>
            </w:r>
            <w:r>
              <w:t>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6EEC58DD" w14:textId="77777777" w:rsidR="0017725B" w:rsidRPr="0017725B" w:rsidRDefault="0017725B" w:rsidP="00C007AC">
            <w:pPr>
              <w:rPr>
                <w:b/>
                <w:u w:val="single"/>
              </w:rPr>
            </w:pPr>
          </w:p>
        </w:tc>
      </w:tr>
      <w:tr w:rsidR="004825AB" w14:paraId="1B77AC78" w14:textId="77777777" w:rsidTr="004303B6">
        <w:tc>
          <w:tcPr>
            <w:tcW w:w="9360" w:type="dxa"/>
          </w:tcPr>
          <w:p w14:paraId="0D3FC95E" w14:textId="77777777" w:rsidR="008423E4" w:rsidRPr="00A8133F" w:rsidRDefault="0000393B" w:rsidP="00C007A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</w:t>
            </w:r>
            <w:r w:rsidRPr="009C1E9A">
              <w:rPr>
                <w:b/>
                <w:u w:val="single"/>
              </w:rPr>
              <w:t>UTHORITY</w:t>
            </w:r>
            <w:r>
              <w:rPr>
                <w:b/>
              </w:rPr>
              <w:t xml:space="preserve"> </w:t>
            </w:r>
          </w:p>
          <w:p w14:paraId="631CDD4F" w14:textId="77777777" w:rsidR="008423E4" w:rsidRPr="00151868" w:rsidRDefault="008423E4" w:rsidP="00C007AC">
            <w:pPr>
              <w:rPr>
                <w:sz w:val="20"/>
                <w:szCs w:val="20"/>
              </w:rPr>
            </w:pPr>
          </w:p>
          <w:p w14:paraId="3E54EA4A" w14:textId="5AACDC2B" w:rsidR="00D460B3" w:rsidRDefault="0000393B" w:rsidP="00C007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347FB12" w14:textId="77777777" w:rsidR="008423E4" w:rsidRPr="00E21FDC" w:rsidRDefault="008423E4" w:rsidP="00C007AC">
            <w:pPr>
              <w:rPr>
                <w:b/>
              </w:rPr>
            </w:pPr>
          </w:p>
        </w:tc>
      </w:tr>
      <w:tr w:rsidR="004825AB" w14:paraId="6E3FA76C" w14:textId="77777777" w:rsidTr="004303B6">
        <w:tc>
          <w:tcPr>
            <w:tcW w:w="9360" w:type="dxa"/>
          </w:tcPr>
          <w:p w14:paraId="592043A5" w14:textId="77777777" w:rsidR="008423E4" w:rsidRPr="00A8133F" w:rsidRDefault="0000393B" w:rsidP="00C007A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5CFF8CB" w14:textId="77777777" w:rsidR="008423E4" w:rsidRPr="00151868" w:rsidRDefault="008423E4" w:rsidP="00C007AC">
            <w:pPr>
              <w:rPr>
                <w:sz w:val="20"/>
                <w:szCs w:val="20"/>
              </w:rPr>
            </w:pPr>
          </w:p>
          <w:p w14:paraId="4CD1E94E" w14:textId="151BF997" w:rsidR="008423E4" w:rsidRDefault="0000393B" w:rsidP="00C007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75521C">
              <w:t>H.B. 423 requires the Texas Workforce Commission</w:t>
            </w:r>
            <w:r w:rsidR="00CA1486">
              <w:t xml:space="preserve"> (TWC)</w:t>
            </w:r>
            <w:r w:rsidR="0075521C">
              <w:t xml:space="preserve"> to conduct a study regarding the cost of child care in Texas in comparison to </w:t>
            </w:r>
            <w:r>
              <w:t>family income</w:t>
            </w:r>
            <w:r w:rsidR="0075521C">
              <w:t xml:space="preserve">. </w:t>
            </w:r>
            <w:r w:rsidR="00155714">
              <w:t>The study must examine the following:</w:t>
            </w:r>
          </w:p>
          <w:p w14:paraId="1DBB6702" w14:textId="798D0787" w:rsidR="00155714" w:rsidRPr="00155714" w:rsidRDefault="0000393B" w:rsidP="00C007AC">
            <w:pPr>
              <w:pStyle w:val="Header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155714">
              <w:rPr>
                <w:bCs/>
              </w:rPr>
              <w:t>trends in child-care costs</w:t>
            </w:r>
            <w:r w:rsidR="00CA1486">
              <w:rPr>
                <w:bCs/>
              </w:rPr>
              <w:t xml:space="preserve"> and </w:t>
            </w:r>
            <w:r w:rsidR="00541F3C">
              <w:rPr>
                <w:bCs/>
              </w:rPr>
              <w:t xml:space="preserve">projections for </w:t>
            </w:r>
            <w:r w:rsidR="00CA1486">
              <w:rPr>
                <w:bCs/>
              </w:rPr>
              <w:t>future</w:t>
            </w:r>
            <w:r w:rsidR="00541F3C">
              <w:rPr>
                <w:bCs/>
              </w:rPr>
              <w:t xml:space="preserve"> child-care costs</w:t>
            </w:r>
            <w:r w:rsidR="00CF3E83">
              <w:rPr>
                <w:bCs/>
              </w:rPr>
              <w:t>;</w:t>
            </w:r>
          </w:p>
          <w:p w14:paraId="6A134F04" w14:textId="74E2207F" w:rsidR="00155714" w:rsidRPr="00155714" w:rsidRDefault="0000393B" w:rsidP="00C007AC">
            <w:pPr>
              <w:pStyle w:val="Header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155714">
              <w:rPr>
                <w:bCs/>
              </w:rPr>
              <w:t>child-care costs</w:t>
            </w:r>
            <w:r w:rsidR="004F245E">
              <w:rPr>
                <w:bCs/>
              </w:rPr>
              <w:t xml:space="preserve"> </w:t>
            </w:r>
            <w:r w:rsidR="004F245E" w:rsidRPr="004F245E">
              <w:rPr>
                <w:bCs/>
              </w:rPr>
              <w:t>compared to family income, considering federal poverty guidelines, state median income, or other relevant income standard</w:t>
            </w:r>
            <w:r w:rsidR="004F245E">
              <w:rPr>
                <w:bCs/>
              </w:rPr>
              <w:t>s</w:t>
            </w:r>
            <w:r w:rsidRPr="00155714">
              <w:rPr>
                <w:bCs/>
              </w:rPr>
              <w:t>; and</w:t>
            </w:r>
          </w:p>
          <w:p w14:paraId="12FF5C74" w14:textId="71822A48" w:rsidR="004F245E" w:rsidRPr="0020375E" w:rsidRDefault="0000393B" w:rsidP="00C007AC">
            <w:pPr>
              <w:pStyle w:val="Header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4F245E">
              <w:rPr>
                <w:bCs/>
              </w:rPr>
              <w:t>the amount of governmental money estimated or available to support subsidized child care over the periods</w:t>
            </w:r>
            <w:r w:rsidR="0020375E">
              <w:rPr>
                <w:bCs/>
              </w:rPr>
              <w:t xml:space="preserve"> </w:t>
            </w:r>
            <w:r w:rsidRPr="0020375E">
              <w:rPr>
                <w:bCs/>
              </w:rPr>
              <w:t xml:space="preserve">applicable to </w:t>
            </w:r>
            <w:r w:rsidR="0020375E">
              <w:rPr>
                <w:bCs/>
              </w:rPr>
              <w:t>such</w:t>
            </w:r>
            <w:r w:rsidRPr="0020375E">
              <w:rPr>
                <w:bCs/>
              </w:rPr>
              <w:t xml:space="preserve"> data and the number of children receiv</w:t>
            </w:r>
            <w:r w:rsidRPr="0020375E">
              <w:rPr>
                <w:bCs/>
              </w:rPr>
              <w:t>ing subsidized child care</w:t>
            </w:r>
            <w:r w:rsidR="00B61251">
              <w:rPr>
                <w:bCs/>
              </w:rPr>
              <w:t>.</w:t>
            </w:r>
          </w:p>
          <w:p w14:paraId="2C5591EC" w14:textId="77777777" w:rsidR="00D460B3" w:rsidRDefault="0000393B" w:rsidP="00C007A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The study must also </w:t>
            </w:r>
            <w:r w:rsidR="004F245E" w:rsidRPr="004F245E">
              <w:rPr>
                <w:bCs/>
              </w:rPr>
              <w:t>estimate the number of families eligible to receive subsidized child care.</w:t>
            </w:r>
            <w:r>
              <w:rPr>
                <w:bCs/>
              </w:rPr>
              <w:t xml:space="preserve"> </w:t>
            </w:r>
            <w:r w:rsidR="000459F0">
              <w:rPr>
                <w:bCs/>
              </w:rPr>
              <w:t xml:space="preserve">The bill </w:t>
            </w:r>
            <w:r>
              <w:rPr>
                <w:bCs/>
              </w:rPr>
              <w:t xml:space="preserve">requires </w:t>
            </w:r>
            <w:r w:rsidR="00CA1486">
              <w:rPr>
                <w:bCs/>
              </w:rPr>
              <w:t>TWC</w:t>
            </w:r>
            <w:r>
              <w:rPr>
                <w:bCs/>
              </w:rPr>
              <w:t xml:space="preserve"> to report </w:t>
            </w:r>
            <w:r>
              <w:rPr>
                <w:bCs/>
              </w:rPr>
              <w:t xml:space="preserve">the results of the study to the governor, the lieutenant governor, the speaker of the house of representatives, and each legislative standing committee with jurisdiction over child-care facilities not later than </w:t>
            </w:r>
            <w:r w:rsidR="00D95BBF">
              <w:rPr>
                <w:bCs/>
              </w:rPr>
              <w:t xml:space="preserve">December </w:t>
            </w:r>
            <w:r>
              <w:rPr>
                <w:bCs/>
              </w:rPr>
              <w:t>1</w:t>
            </w:r>
            <w:r w:rsidR="00D95BBF">
              <w:rPr>
                <w:bCs/>
              </w:rPr>
              <w:t>5</w:t>
            </w:r>
            <w:r>
              <w:rPr>
                <w:bCs/>
              </w:rPr>
              <w:t>, 2024. The bill's provisions exp</w:t>
            </w:r>
            <w:r>
              <w:rPr>
                <w:bCs/>
              </w:rPr>
              <w:t xml:space="preserve">ire </w:t>
            </w:r>
            <w:r w:rsidR="00843713">
              <w:rPr>
                <w:bCs/>
              </w:rPr>
              <w:t>September</w:t>
            </w:r>
            <w:r w:rsidR="00D95BBF">
              <w:rPr>
                <w:bCs/>
              </w:rPr>
              <w:t xml:space="preserve"> </w:t>
            </w:r>
            <w:r>
              <w:rPr>
                <w:bCs/>
              </w:rPr>
              <w:t xml:space="preserve">1, 2025. </w:t>
            </w:r>
          </w:p>
          <w:p w14:paraId="4710E575" w14:textId="0B53E3C4" w:rsidR="006C1799" w:rsidRPr="00155714" w:rsidRDefault="006C1799" w:rsidP="00C007A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</w:p>
        </w:tc>
      </w:tr>
      <w:tr w:rsidR="004825AB" w14:paraId="6DE8688B" w14:textId="77777777" w:rsidTr="004303B6">
        <w:tc>
          <w:tcPr>
            <w:tcW w:w="9360" w:type="dxa"/>
          </w:tcPr>
          <w:p w14:paraId="1B06C5FC" w14:textId="77777777" w:rsidR="008423E4" w:rsidRPr="00A8133F" w:rsidRDefault="0000393B" w:rsidP="00C007A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DE60FD0" w14:textId="77777777" w:rsidR="008423E4" w:rsidRPr="00151868" w:rsidRDefault="008423E4" w:rsidP="00C007AC">
            <w:pPr>
              <w:rPr>
                <w:sz w:val="20"/>
                <w:szCs w:val="20"/>
              </w:rPr>
            </w:pPr>
          </w:p>
          <w:p w14:paraId="16802605" w14:textId="77777777" w:rsidR="00151868" w:rsidRDefault="0000393B" w:rsidP="0015186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A724C5D" w14:textId="3E42749B" w:rsidR="00151868" w:rsidRPr="00151868" w:rsidRDefault="00151868" w:rsidP="0015186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4825AB" w14:paraId="5C28F5D9" w14:textId="77777777" w:rsidTr="004303B6">
        <w:tc>
          <w:tcPr>
            <w:tcW w:w="9360" w:type="dxa"/>
          </w:tcPr>
          <w:p w14:paraId="523352F2" w14:textId="77777777" w:rsidR="004303B6" w:rsidRDefault="0000393B" w:rsidP="00C007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1601FB76" w14:textId="77777777" w:rsidR="004303B6" w:rsidRPr="004303B6" w:rsidRDefault="004303B6" w:rsidP="004303B6">
            <w:pPr>
              <w:jc w:val="both"/>
              <w:rPr>
                <w:sz w:val="20"/>
                <w:szCs w:val="20"/>
              </w:rPr>
            </w:pPr>
          </w:p>
          <w:p w14:paraId="3860299B" w14:textId="6F85C3BA" w:rsidR="004303B6" w:rsidRPr="009C1E9A" w:rsidRDefault="0000393B" w:rsidP="004303B6">
            <w:pPr>
              <w:rPr>
                <w:b/>
                <w:u w:val="single"/>
              </w:rPr>
            </w:pPr>
            <w:r>
              <w:t xml:space="preserve">While C.S.H.B. 423 may differ from the introduced in minor or nonsubstantive ways, the following summarizes the substantial differences between the </w:t>
            </w:r>
            <w:r>
              <w:t>introduced and committee substitute versions of the bill</w:t>
            </w:r>
            <w:r w:rsidR="0093175E">
              <w:t>.</w:t>
            </w:r>
            <w:r>
              <w:t xml:space="preserve"> </w:t>
            </w:r>
          </w:p>
        </w:tc>
      </w:tr>
      <w:tr w:rsidR="004825AB" w14:paraId="4F9DDC8E" w14:textId="77777777" w:rsidTr="004303B6">
        <w:tc>
          <w:tcPr>
            <w:tcW w:w="9360" w:type="dxa"/>
          </w:tcPr>
          <w:p w14:paraId="1AF1ECF6" w14:textId="56405117" w:rsidR="004F51F4" w:rsidRDefault="0000393B" w:rsidP="00C007AC">
            <w:pPr>
              <w:jc w:val="both"/>
            </w:pPr>
            <w:r>
              <w:t xml:space="preserve">Whereas the introduced required the Health and Human Services Commission (HHSC) </w:t>
            </w:r>
            <w:r w:rsidR="0020375E">
              <w:t xml:space="preserve">to conduct the study </w:t>
            </w:r>
            <w:r>
              <w:t xml:space="preserve">with the assistance of </w:t>
            </w:r>
            <w:r w:rsidR="0020375E">
              <w:t>TWC</w:t>
            </w:r>
            <w:r>
              <w:t xml:space="preserve">, the substitute </w:t>
            </w:r>
            <w:r w:rsidR="0020375E">
              <w:t>requires</w:t>
            </w:r>
            <w:r>
              <w:t xml:space="preserve"> </w:t>
            </w:r>
            <w:r w:rsidR="0020375E">
              <w:t>TWC to conduct the study itself.</w:t>
            </w:r>
            <w:r>
              <w:t xml:space="preserve"> Accordingl</w:t>
            </w:r>
            <w:r>
              <w:t>y, the substitute changes the entity required to submit the report on the results of the study from HHSC to TWC. Additionally, t</w:t>
            </w:r>
            <w:r w:rsidRPr="004F51F4">
              <w:t>he substitute changes the deadline for the submission of the report from September 1, 2024, as in the introduced, to December 15</w:t>
            </w:r>
            <w:r w:rsidRPr="004F51F4">
              <w:t>, 2024.</w:t>
            </w:r>
          </w:p>
          <w:p w14:paraId="072C5270" w14:textId="77777777" w:rsidR="004F51F4" w:rsidRPr="004303B6" w:rsidRDefault="004F51F4" w:rsidP="00C007AC">
            <w:pPr>
              <w:jc w:val="both"/>
              <w:rPr>
                <w:sz w:val="20"/>
                <w:szCs w:val="20"/>
              </w:rPr>
            </w:pPr>
          </w:p>
          <w:p w14:paraId="5164172D" w14:textId="1E0CF37F" w:rsidR="00D95BBF" w:rsidRDefault="0000393B" w:rsidP="00C007AC">
            <w:pPr>
              <w:jc w:val="both"/>
            </w:pPr>
            <w:r>
              <w:t>With respect to the cost comparison made in the study, the substitute changes the study from a comparison of child</w:t>
            </w:r>
            <w:r w:rsidR="0042047E">
              <w:t>-</w:t>
            </w:r>
            <w:r>
              <w:t xml:space="preserve">care costs to wages, as in the introduced, to a study of the cost of child care </w:t>
            </w:r>
            <w:r w:rsidR="00B61251">
              <w:t xml:space="preserve">in comparison </w:t>
            </w:r>
            <w:r>
              <w:t>to family income.</w:t>
            </w:r>
          </w:p>
          <w:p w14:paraId="0CC81C05" w14:textId="77777777" w:rsidR="00D95BBF" w:rsidRPr="004303B6" w:rsidRDefault="00D95BBF" w:rsidP="00C007AC">
            <w:pPr>
              <w:jc w:val="both"/>
              <w:rPr>
                <w:sz w:val="20"/>
                <w:szCs w:val="20"/>
              </w:rPr>
            </w:pPr>
          </w:p>
          <w:p w14:paraId="6E18ACE1" w14:textId="77777777" w:rsidR="008E3349" w:rsidRDefault="0000393B" w:rsidP="00C007AC">
            <w:pPr>
              <w:jc w:val="both"/>
            </w:pPr>
            <w:r>
              <w:t xml:space="preserve">With respect to </w:t>
            </w:r>
            <w:r>
              <w:t>the factors the study must examine, the substitute makes the following changes:</w:t>
            </w:r>
          </w:p>
          <w:p w14:paraId="783994D5" w14:textId="24FE3929" w:rsidR="00D95BBF" w:rsidRDefault="0000393B" w:rsidP="00C007AC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whereas the introduced required an examination of both past and current trends in child</w:t>
            </w:r>
            <w:r w:rsidR="00DA0912">
              <w:noBreakHyphen/>
            </w:r>
            <w:r>
              <w:t>care costs in comparison to past and current wages</w:t>
            </w:r>
            <w:r w:rsidR="00E655DE">
              <w:t>, the substitute</w:t>
            </w:r>
            <w:r>
              <w:t xml:space="preserve"> requires an</w:t>
            </w:r>
            <w:r w:rsidR="00E655DE">
              <w:t xml:space="preserve"> examin</w:t>
            </w:r>
            <w:r>
              <w:t>ati</w:t>
            </w:r>
            <w:r>
              <w:t>on of</w:t>
            </w:r>
            <w:r w:rsidR="00E655DE">
              <w:t xml:space="preserve"> </w:t>
            </w:r>
            <w:r>
              <w:t xml:space="preserve">just </w:t>
            </w:r>
            <w:r w:rsidR="00E655DE">
              <w:t>trends in child</w:t>
            </w:r>
            <w:r w:rsidR="00DA0912">
              <w:t>-</w:t>
            </w:r>
            <w:r w:rsidR="00E655DE">
              <w:t>care costs</w:t>
            </w:r>
            <w:r>
              <w:t>;</w:t>
            </w:r>
          </w:p>
          <w:p w14:paraId="5FF6D372" w14:textId="31C1A58F" w:rsidR="008E3349" w:rsidRDefault="0000393B" w:rsidP="00C007AC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w</w:t>
            </w:r>
            <w:r w:rsidR="00E655DE">
              <w:t xml:space="preserve">hereas the introduced </w:t>
            </w:r>
            <w:r>
              <w:t xml:space="preserve">required an </w:t>
            </w:r>
            <w:r w:rsidR="00E655DE">
              <w:t>examin</w:t>
            </w:r>
            <w:r>
              <w:t>ation of</w:t>
            </w:r>
            <w:r w:rsidR="00E655DE">
              <w:t xml:space="preserve"> future trends in child-care costs, </w:t>
            </w:r>
            <w:r w:rsidRPr="008E3349">
              <w:t>including projected costs for child care for each of the next 10 years and projected future wages for each of the next 10 years</w:t>
            </w:r>
            <w:r>
              <w:t>,</w:t>
            </w:r>
            <w:r w:rsidRPr="008E3349">
              <w:t xml:space="preserve"> </w:t>
            </w:r>
            <w:r>
              <w:t>the</w:t>
            </w:r>
            <w:r>
              <w:t xml:space="preserve"> substitute only requires an examination of projections for future child-care costs</w:t>
            </w:r>
            <w:r w:rsidR="000A79F4">
              <w:t xml:space="preserve"> generally;</w:t>
            </w:r>
          </w:p>
          <w:p w14:paraId="5D301821" w14:textId="0739F886" w:rsidR="008E3349" w:rsidRDefault="0000393B" w:rsidP="00C007AC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T</w:t>
            </w:r>
            <w:r w:rsidR="00E655DE">
              <w:t xml:space="preserve">he substitute </w:t>
            </w:r>
            <w:r>
              <w:t xml:space="preserve">requires an </w:t>
            </w:r>
            <w:r w:rsidR="009C33A1">
              <w:t>examin</w:t>
            </w:r>
            <w:r>
              <w:t>ation, for which there is no analog in the introduced, of</w:t>
            </w:r>
            <w:r w:rsidR="009C33A1">
              <w:t xml:space="preserve"> child-care cost</w:t>
            </w:r>
            <w:r>
              <w:t>s</w:t>
            </w:r>
            <w:r w:rsidR="009C33A1">
              <w:t xml:space="preserve"> compared to family income, considering federal poverty guidelines, state median income</w:t>
            </w:r>
            <w:r w:rsidR="008960EC">
              <w:t>,</w:t>
            </w:r>
            <w:r w:rsidR="009C33A1">
              <w:t xml:space="preserve"> or other relevant </w:t>
            </w:r>
            <w:r>
              <w:t xml:space="preserve">income </w:t>
            </w:r>
            <w:r w:rsidR="009C33A1">
              <w:t>standards</w:t>
            </w:r>
            <w:r>
              <w:t>;</w:t>
            </w:r>
          </w:p>
          <w:p w14:paraId="44E19046" w14:textId="0B2BB22F" w:rsidR="004F51F4" w:rsidRDefault="0000393B" w:rsidP="00C007AC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t</w:t>
            </w:r>
            <w:r w:rsidR="009C33A1">
              <w:t xml:space="preserve">he substitute </w:t>
            </w:r>
            <w:r>
              <w:t xml:space="preserve">omits the requirement for an </w:t>
            </w:r>
            <w:r w:rsidR="00F67BA1">
              <w:t>examin</w:t>
            </w:r>
            <w:r>
              <w:t>ation of</w:t>
            </w:r>
            <w:r w:rsidR="00F67BA1">
              <w:t xml:space="preserve"> </w:t>
            </w:r>
            <w:r>
              <w:t>the expansion or stabilization of social service programs over a certain period; and</w:t>
            </w:r>
          </w:p>
          <w:p w14:paraId="364A7460" w14:textId="0FAE2FE9" w:rsidR="004F51F4" w:rsidRDefault="0000393B" w:rsidP="00C007AC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the substitute requires an examination</w:t>
            </w:r>
            <w:r w:rsidR="000A79F4">
              <w:t>,</w:t>
            </w:r>
            <w:r>
              <w:t xml:space="preserve"> f</w:t>
            </w:r>
            <w:r>
              <w:t>or which there is no analog</w:t>
            </w:r>
            <w:r w:rsidR="000A79F4">
              <w:t xml:space="preserve"> in the introduced,</w:t>
            </w:r>
            <w:r>
              <w:t xml:space="preserve"> of </w:t>
            </w:r>
            <w:r w:rsidR="00F67BA1">
              <w:t>the amount of government</w:t>
            </w:r>
            <w:r w:rsidR="00E131D1">
              <w:t>al</w:t>
            </w:r>
            <w:r w:rsidR="00F67BA1">
              <w:t xml:space="preserve"> </w:t>
            </w:r>
            <w:r w:rsidR="00F25D19">
              <w:t>money estimated or available to support subsidized child</w:t>
            </w:r>
            <w:r w:rsidR="00DA0912">
              <w:t xml:space="preserve"> </w:t>
            </w:r>
            <w:r w:rsidR="00F25D19">
              <w:t>care</w:t>
            </w:r>
            <w:r>
              <w:t xml:space="preserve"> over a certain period and the number of children receiving subsidized child care</w:t>
            </w:r>
            <w:r w:rsidR="00F25D19">
              <w:t xml:space="preserve">. </w:t>
            </w:r>
          </w:p>
          <w:p w14:paraId="3F0DE99F" w14:textId="47E39490" w:rsidR="00F25D19" w:rsidRDefault="0000393B" w:rsidP="00C007AC">
            <w:pPr>
              <w:jc w:val="both"/>
            </w:pPr>
            <w:r>
              <w:t xml:space="preserve">The substitute </w:t>
            </w:r>
            <w:r w:rsidR="000A79F4">
              <w:t>does not include</w:t>
            </w:r>
            <w:r>
              <w:t xml:space="preserve"> </w:t>
            </w:r>
            <w:r w:rsidR="004F51F4">
              <w:t xml:space="preserve">the </w:t>
            </w:r>
            <w:r>
              <w:t xml:space="preserve">provision </w:t>
            </w:r>
            <w:r w:rsidR="004F51F4">
              <w:t>from</w:t>
            </w:r>
            <w:r>
              <w:t xml:space="preserve"> the introduced </w:t>
            </w:r>
            <w:r w:rsidR="004F51F4">
              <w:t xml:space="preserve">requiring the study to compare data obtained from the examinations </w:t>
            </w:r>
            <w:r>
              <w:t>for single</w:t>
            </w:r>
            <w:r w:rsidR="00E131D1">
              <w:t>-</w:t>
            </w:r>
            <w:r>
              <w:t>parent and two-parent households</w:t>
            </w:r>
            <w:r w:rsidR="00DF6ABB">
              <w:t>. The substitute</w:t>
            </w:r>
            <w:r w:rsidR="004F51F4">
              <w:t xml:space="preserve"> includes a requirement not in the introduced for the study to estimate the number of families eligible to receive subsidized child care.</w:t>
            </w:r>
          </w:p>
          <w:p w14:paraId="2AED08B2" w14:textId="7C73BC30" w:rsidR="00F25D19" w:rsidRDefault="00F25D19" w:rsidP="00C007AC">
            <w:pPr>
              <w:jc w:val="both"/>
            </w:pPr>
          </w:p>
          <w:p w14:paraId="2071FA59" w14:textId="076C44D7" w:rsidR="00F25D19" w:rsidRPr="00D95BBF" w:rsidRDefault="00F25D19" w:rsidP="00C007AC">
            <w:pPr>
              <w:jc w:val="both"/>
            </w:pPr>
          </w:p>
        </w:tc>
      </w:tr>
      <w:tr w:rsidR="004825AB" w14:paraId="389460BF" w14:textId="77777777" w:rsidTr="004303B6">
        <w:tc>
          <w:tcPr>
            <w:tcW w:w="9360" w:type="dxa"/>
          </w:tcPr>
          <w:p w14:paraId="3D3F184F" w14:textId="77777777" w:rsidR="00D04ADC" w:rsidRPr="009C1E9A" w:rsidRDefault="00D04ADC" w:rsidP="00C007AC">
            <w:pPr>
              <w:rPr>
                <w:b/>
                <w:u w:val="single"/>
              </w:rPr>
            </w:pPr>
          </w:p>
        </w:tc>
      </w:tr>
      <w:tr w:rsidR="004825AB" w14:paraId="2D7C8136" w14:textId="77777777" w:rsidTr="004303B6">
        <w:tc>
          <w:tcPr>
            <w:tcW w:w="9360" w:type="dxa"/>
          </w:tcPr>
          <w:p w14:paraId="37E37E99" w14:textId="77777777" w:rsidR="00D04ADC" w:rsidRPr="00D04ADC" w:rsidRDefault="00D04ADC" w:rsidP="00C007AC">
            <w:pPr>
              <w:jc w:val="both"/>
            </w:pPr>
          </w:p>
        </w:tc>
      </w:tr>
    </w:tbl>
    <w:p w14:paraId="07FF97C2" w14:textId="77777777" w:rsidR="008423E4" w:rsidRPr="00BE0E75" w:rsidRDefault="008423E4" w:rsidP="00C007AC">
      <w:pPr>
        <w:jc w:val="both"/>
        <w:rPr>
          <w:rFonts w:ascii="Arial" w:hAnsi="Arial"/>
          <w:sz w:val="16"/>
          <w:szCs w:val="16"/>
        </w:rPr>
      </w:pPr>
    </w:p>
    <w:p w14:paraId="736D994F" w14:textId="77777777" w:rsidR="004108C3" w:rsidRPr="008423E4" w:rsidRDefault="004108C3" w:rsidP="00C007A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E3584" w14:textId="77777777" w:rsidR="00000000" w:rsidRDefault="0000393B">
      <w:r>
        <w:separator/>
      </w:r>
    </w:p>
  </w:endnote>
  <w:endnote w:type="continuationSeparator" w:id="0">
    <w:p w14:paraId="1E9968C2" w14:textId="77777777" w:rsidR="00000000" w:rsidRDefault="0000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8A3A2" w14:textId="77777777" w:rsidR="006E30A6" w:rsidRDefault="006E30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825AB" w14:paraId="30F84398" w14:textId="77777777" w:rsidTr="009C1E9A">
      <w:trPr>
        <w:cantSplit/>
      </w:trPr>
      <w:tc>
        <w:tcPr>
          <w:tcW w:w="0" w:type="pct"/>
        </w:tcPr>
        <w:p w14:paraId="711F77D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F458CE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A3C833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E82BF6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8F4C36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825AB" w14:paraId="70A49CF6" w14:textId="77777777" w:rsidTr="009C1E9A">
      <w:trPr>
        <w:cantSplit/>
      </w:trPr>
      <w:tc>
        <w:tcPr>
          <w:tcW w:w="0" w:type="pct"/>
        </w:tcPr>
        <w:p w14:paraId="3F45F28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97572B0" w14:textId="3BEECE92" w:rsidR="00EC379B" w:rsidRPr="009C1E9A" w:rsidRDefault="0000393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24985-D</w:t>
          </w:r>
        </w:p>
      </w:tc>
      <w:tc>
        <w:tcPr>
          <w:tcW w:w="2453" w:type="pct"/>
        </w:tcPr>
        <w:p w14:paraId="29BDC7BE" w14:textId="1EACC139" w:rsidR="00EC379B" w:rsidRDefault="0000393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01443">
            <w:t>23.111.1597</w:t>
          </w:r>
          <w:r>
            <w:fldChar w:fldCharType="end"/>
          </w:r>
        </w:p>
      </w:tc>
    </w:tr>
    <w:tr w:rsidR="004825AB" w14:paraId="02FA4E2D" w14:textId="77777777" w:rsidTr="009C1E9A">
      <w:trPr>
        <w:cantSplit/>
      </w:trPr>
      <w:tc>
        <w:tcPr>
          <w:tcW w:w="0" w:type="pct"/>
        </w:tcPr>
        <w:p w14:paraId="76267A8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D36B1DB" w14:textId="47F6D924" w:rsidR="00EC379B" w:rsidRPr="009C1E9A" w:rsidRDefault="0000393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14575</w:t>
          </w:r>
        </w:p>
      </w:tc>
      <w:tc>
        <w:tcPr>
          <w:tcW w:w="2453" w:type="pct"/>
        </w:tcPr>
        <w:p w14:paraId="7651F64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162B65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825AB" w14:paraId="7067397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795BFA8" w14:textId="77777777" w:rsidR="00EC379B" w:rsidRDefault="0000393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6E6696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3144CE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16429" w14:textId="77777777" w:rsidR="006E30A6" w:rsidRDefault="006E3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EFEA9" w14:textId="77777777" w:rsidR="00000000" w:rsidRDefault="0000393B">
      <w:r>
        <w:separator/>
      </w:r>
    </w:p>
  </w:footnote>
  <w:footnote w:type="continuationSeparator" w:id="0">
    <w:p w14:paraId="59136A68" w14:textId="77777777" w:rsidR="00000000" w:rsidRDefault="00003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D459" w14:textId="77777777" w:rsidR="006E30A6" w:rsidRDefault="006E30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F474" w14:textId="77777777" w:rsidR="006E30A6" w:rsidRDefault="006E30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29CE" w14:textId="77777777" w:rsidR="006E30A6" w:rsidRDefault="006E30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84D21"/>
    <w:multiLevelType w:val="hybridMultilevel"/>
    <w:tmpl w:val="7E7496A8"/>
    <w:lvl w:ilvl="0" w:tplc="5B52E9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8047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E87B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C7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244A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4400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6D1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969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3CF8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A4497"/>
    <w:multiLevelType w:val="hybridMultilevel"/>
    <w:tmpl w:val="3266E2EA"/>
    <w:lvl w:ilvl="0" w:tplc="0DACED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2635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720B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C2BC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B239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123E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033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84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ACCB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758E0"/>
    <w:multiLevelType w:val="hybridMultilevel"/>
    <w:tmpl w:val="A2C4DCEA"/>
    <w:lvl w:ilvl="0" w:tplc="EC9CA5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1AF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B281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43C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40A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427D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781B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5EE0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747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508715">
    <w:abstractNumId w:val="0"/>
  </w:num>
  <w:num w:numId="2" w16cid:durableId="997656177">
    <w:abstractNumId w:val="2"/>
  </w:num>
  <w:num w:numId="3" w16cid:durableId="2139257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1C"/>
    <w:rsid w:val="00000A70"/>
    <w:rsid w:val="000032B8"/>
    <w:rsid w:val="0000393B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59F0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31D"/>
    <w:rsid w:val="000667BA"/>
    <w:rsid w:val="000676A7"/>
    <w:rsid w:val="00073914"/>
    <w:rsid w:val="00074236"/>
    <w:rsid w:val="000746BD"/>
    <w:rsid w:val="00076D7D"/>
    <w:rsid w:val="00080448"/>
    <w:rsid w:val="00080D95"/>
    <w:rsid w:val="00090E6B"/>
    <w:rsid w:val="00091B2C"/>
    <w:rsid w:val="00092ABC"/>
    <w:rsid w:val="00097AAF"/>
    <w:rsid w:val="00097D13"/>
    <w:rsid w:val="000A3778"/>
    <w:rsid w:val="000A4893"/>
    <w:rsid w:val="000A54E0"/>
    <w:rsid w:val="000A72C4"/>
    <w:rsid w:val="000A79F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1868"/>
    <w:rsid w:val="0015331F"/>
    <w:rsid w:val="00155714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12A5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375E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3E8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D7DDB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047E"/>
    <w:rsid w:val="00422039"/>
    <w:rsid w:val="00423FBC"/>
    <w:rsid w:val="004241AA"/>
    <w:rsid w:val="0042422E"/>
    <w:rsid w:val="004303B6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25AB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245E"/>
    <w:rsid w:val="004F32AD"/>
    <w:rsid w:val="004F4336"/>
    <w:rsid w:val="004F51F4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34F3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1F3C"/>
    <w:rsid w:val="00542E4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3DCC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6AE1"/>
    <w:rsid w:val="006B7A2E"/>
    <w:rsid w:val="006C1799"/>
    <w:rsid w:val="006C4709"/>
    <w:rsid w:val="006D3005"/>
    <w:rsid w:val="006D504F"/>
    <w:rsid w:val="006E0CAC"/>
    <w:rsid w:val="006E1CFB"/>
    <w:rsid w:val="006E1F94"/>
    <w:rsid w:val="006E26C1"/>
    <w:rsid w:val="006E30A6"/>
    <w:rsid w:val="006E30A8"/>
    <w:rsid w:val="006E45B0"/>
    <w:rsid w:val="006E5692"/>
    <w:rsid w:val="006F365D"/>
    <w:rsid w:val="006F4BB0"/>
    <w:rsid w:val="00702298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21C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01AD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3713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0E61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60EC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3349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175E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5847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3A1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7D48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4EF2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1251"/>
    <w:rsid w:val="00B62106"/>
    <w:rsid w:val="00B626A8"/>
    <w:rsid w:val="00B65695"/>
    <w:rsid w:val="00B66526"/>
    <w:rsid w:val="00B665A3"/>
    <w:rsid w:val="00B70D49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120F"/>
    <w:rsid w:val="00BF4949"/>
    <w:rsid w:val="00BF4D7C"/>
    <w:rsid w:val="00BF5085"/>
    <w:rsid w:val="00C007AC"/>
    <w:rsid w:val="00C013F4"/>
    <w:rsid w:val="00C01443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1486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3E83"/>
    <w:rsid w:val="00CF4827"/>
    <w:rsid w:val="00CF4C69"/>
    <w:rsid w:val="00CF581C"/>
    <w:rsid w:val="00CF71E0"/>
    <w:rsid w:val="00D001B1"/>
    <w:rsid w:val="00D03176"/>
    <w:rsid w:val="00D04ADC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60B3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2D3"/>
    <w:rsid w:val="00D947B6"/>
    <w:rsid w:val="00D94A53"/>
    <w:rsid w:val="00D95BBF"/>
    <w:rsid w:val="00D97E00"/>
    <w:rsid w:val="00DA00BC"/>
    <w:rsid w:val="00DA0912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214"/>
    <w:rsid w:val="00DF6ABB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1D1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34E8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55DE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5D19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67BA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5B9352-650C-46B8-BAA6-A4A0A08A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460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460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60B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60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460B3"/>
    <w:rPr>
      <w:b/>
      <w:bCs/>
    </w:rPr>
  </w:style>
  <w:style w:type="paragraph" w:styleId="Revision">
    <w:name w:val="Revision"/>
    <w:hidden/>
    <w:uiPriority w:val="99"/>
    <w:semiHidden/>
    <w:rsid w:val="00D04A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E3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726</Words>
  <Characters>4015</Characters>
  <Application>Microsoft Office Word</Application>
  <DocSecurity>4</DocSecurity>
  <Lines>92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HB00423 (Committee Report (Substituted))</vt:lpstr>
    </vt:vector>
  </TitlesOfParts>
  <Company>State of Texas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24985</dc:subject>
  <dc:creator>State of Texas</dc:creator>
  <dc:description>HB 423 by Lopez, Ray-(H)Human Services (Substitute Document Number: 88R 14575)</dc:description>
  <cp:lastModifiedBy>Stacey Nicchio</cp:lastModifiedBy>
  <cp:revision>2</cp:revision>
  <cp:lastPrinted>2003-11-26T17:21:00Z</cp:lastPrinted>
  <dcterms:created xsi:type="dcterms:W3CDTF">2023-04-24T16:59:00Z</dcterms:created>
  <dcterms:modified xsi:type="dcterms:W3CDTF">2023-04-24T16:59:00Z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23.111.1597</vt:lpwstr>
  </property>
</Properties>
</file>