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36FE9" w14:paraId="3193B6B1" w14:textId="77777777" w:rsidTr="00345119">
        <w:tc>
          <w:tcPr>
            <w:tcW w:w="9576" w:type="dxa"/>
            <w:noWrap/>
          </w:tcPr>
          <w:p w14:paraId="19F044FF" w14:textId="77777777" w:rsidR="008423E4" w:rsidRPr="0022177D" w:rsidRDefault="00853CEF" w:rsidP="00972288">
            <w:pPr>
              <w:pStyle w:val="Heading1"/>
            </w:pPr>
            <w:r w:rsidRPr="00631897">
              <w:t>BILL ANALYSIS</w:t>
            </w:r>
          </w:p>
        </w:tc>
      </w:tr>
    </w:tbl>
    <w:p w14:paraId="0AD465CB" w14:textId="77777777" w:rsidR="008423E4" w:rsidRPr="0022177D" w:rsidRDefault="008423E4" w:rsidP="00972288">
      <w:pPr>
        <w:jc w:val="center"/>
      </w:pPr>
    </w:p>
    <w:p w14:paraId="1151C6C9" w14:textId="77777777" w:rsidR="008423E4" w:rsidRPr="00B31F0E" w:rsidRDefault="008423E4" w:rsidP="00972288"/>
    <w:p w14:paraId="0943BCAD" w14:textId="77777777" w:rsidR="008423E4" w:rsidRPr="00742794" w:rsidRDefault="008423E4" w:rsidP="0097228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36FE9" w14:paraId="42DE5B2A" w14:textId="77777777" w:rsidTr="00345119">
        <w:tc>
          <w:tcPr>
            <w:tcW w:w="9576" w:type="dxa"/>
          </w:tcPr>
          <w:p w14:paraId="06AA0068" w14:textId="2CCF4671" w:rsidR="008423E4" w:rsidRPr="00861995" w:rsidRDefault="00853CEF" w:rsidP="00972288">
            <w:pPr>
              <w:jc w:val="right"/>
            </w:pPr>
            <w:r>
              <w:t>H.B. 450</w:t>
            </w:r>
          </w:p>
        </w:tc>
      </w:tr>
      <w:tr w:rsidR="00936FE9" w14:paraId="586CA790" w14:textId="77777777" w:rsidTr="00345119">
        <w:tc>
          <w:tcPr>
            <w:tcW w:w="9576" w:type="dxa"/>
          </w:tcPr>
          <w:p w14:paraId="675C3BBD" w14:textId="7A78CD65" w:rsidR="008423E4" w:rsidRPr="00861995" w:rsidRDefault="00853CEF" w:rsidP="00972288">
            <w:pPr>
              <w:jc w:val="right"/>
            </w:pPr>
            <w:r>
              <w:t xml:space="preserve">By: </w:t>
            </w:r>
            <w:r w:rsidR="00FE1022">
              <w:t>Craddick</w:t>
            </w:r>
          </w:p>
        </w:tc>
      </w:tr>
      <w:tr w:rsidR="00936FE9" w14:paraId="50B0BCC5" w14:textId="77777777" w:rsidTr="00345119">
        <w:tc>
          <w:tcPr>
            <w:tcW w:w="9576" w:type="dxa"/>
          </w:tcPr>
          <w:p w14:paraId="5B651A59" w14:textId="5405A9C1" w:rsidR="008423E4" w:rsidRPr="00861995" w:rsidRDefault="00853CEF" w:rsidP="00972288">
            <w:pPr>
              <w:jc w:val="right"/>
            </w:pPr>
            <w:r>
              <w:t>Judiciary &amp; Civil Jurisprudence</w:t>
            </w:r>
          </w:p>
        </w:tc>
      </w:tr>
      <w:tr w:rsidR="00936FE9" w14:paraId="5EB7349B" w14:textId="77777777" w:rsidTr="00345119">
        <w:tc>
          <w:tcPr>
            <w:tcW w:w="9576" w:type="dxa"/>
          </w:tcPr>
          <w:p w14:paraId="2746B5BF" w14:textId="445657E0" w:rsidR="008423E4" w:rsidRDefault="00853CEF" w:rsidP="00972288">
            <w:pPr>
              <w:jc w:val="right"/>
            </w:pPr>
            <w:r>
              <w:t>Committee Report (Unamended)</w:t>
            </w:r>
          </w:p>
        </w:tc>
      </w:tr>
    </w:tbl>
    <w:p w14:paraId="3569FE71" w14:textId="77777777" w:rsidR="008423E4" w:rsidRDefault="008423E4" w:rsidP="00972288">
      <w:pPr>
        <w:tabs>
          <w:tab w:val="right" w:pos="9360"/>
        </w:tabs>
      </w:pPr>
    </w:p>
    <w:p w14:paraId="3E53109D" w14:textId="77777777" w:rsidR="008423E4" w:rsidRDefault="008423E4" w:rsidP="00972288"/>
    <w:p w14:paraId="13B12F87" w14:textId="77777777" w:rsidR="008423E4" w:rsidRDefault="008423E4" w:rsidP="0097228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36FE9" w14:paraId="395A0010" w14:textId="77777777" w:rsidTr="00C44074">
        <w:tc>
          <w:tcPr>
            <w:tcW w:w="9360" w:type="dxa"/>
          </w:tcPr>
          <w:p w14:paraId="0F791561" w14:textId="77777777" w:rsidR="008423E4" w:rsidRPr="00A8133F" w:rsidRDefault="00853CEF" w:rsidP="0097228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335DAB8" w14:textId="77777777" w:rsidR="008423E4" w:rsidRDefault="008423E4" w:rsidP="00972288"/>
          <w:p w14:paraId="34148C54" w14:textId="1CCB8A0C" w:rsidR="008423E4" w:rsidRDefault="00853CEF" w:rsidP="009722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is</w:t>
            </w:r>
            <w:r w:rsidR="008725BA">
              <w:t xml:space="preserve"> </w:t>
            </w:r>
            <w:r w:rsidR="0090113F">
              <w:t>an ongoing issue</w:t>
            </w:r>
            <w:r w:rsidR="008725BA">
              <w:t xml:space="preserve"> in which</w:t>
            </w:r>
            <w:r w:rsidR="00142D96" w:rsidRPr="00142D96">
              <w:t xml:space="preserve"> oil and gas entities releas</w:t>
            </w:r>
            <w:r w:rsidR="008725BA">
              <w:t>e</w:t>
            </w:r>
            <w:r w:rsidR="00142D96" w:rsidRPr="00142D96">
              <w:t xml:space="preserve"> overriding royalty interests in oil and gas leases </w:t>
            </w:r>
            <w:r w:rsidR="00CB405C">
              <w:t>only to</w:t>
            </w:r>
            <w:r w:rsidR="00CB405C" w:rsidRPr="00142D96">
              <w:t xml:space="preserve"> </w:t>
            </w:r>
            <w:r w:rsidR="00142D96" w:rsidRPr="00142D96">
              <w:t xml:space="preserve">later </w:t>
            </w:r>
            <w:r w:rsidR="00CB405C" w:rsidRPr="00142D96">
              <w:t>reacquir</w:t>
            </w:r>
            <w:r w:rsidR="00CB405C">
              <w:t>e</w:t>
            </w:r>
            <w:r w:rsidR="00CB405C" w:rsidRPr="00142D96">
              <w:t xml:space="preserve"> </w:t>
            </w:r>
            <w:r w:rsidR="00142D96" w:rsidRPr="00142D96">
              <w:t>the same lease without the overriding interest.</w:t>
            </w:r>
            <w:r w:rsidR="00142D96">
              <w:t xml:space="preserve"> </w:t>
            </w:r>
            <w:r>
              <w:t>T</w:t>
            </w:r>
            <w:r w:rsidR="00142D96" w:rsidRPr="00142D96">
              <w:t xml:space="preserve">here is currently no </w:t>
            </w:r>
            <w:r w:rsidR="00B745DB">
              <w:t xml:space="preserve">mechanism through which a </w:t>
            </w:r>
            <w:r w:rsidR="00142D96" w:rsidRPr="00142D96">
              <w:t xml:space="preserve">cause of action </w:t>
            </w:r>
            <w:r w:rsidR="00B745DB">
              <w:t xml:space="preserve">may be brought for </w:t>
            </w:r>
            <w:r w:rsidR="00EC6DBF">
              <w:t>this</w:t>
            </w:r>
            <w:r w:rsidR="00B745DB">
              <w:t xml:space="preserve"> </w:t>
            </w:r>
            <w:r w:rsidR="00B745DB" w:rsidRPr="00B745DB">
              <w:t xml:space="preserve">bad faith washout of </w:t>
            </w:r>
            <w:r w:rsidR="00B745DB">
              <w:t>a</w:t>
            </w:r>
            <w:r w:rsidR="00B745DB" w:rsidRPr="00B745DB">
              <w:t xml:space="preserve"> person's overriding royalty interest in an oil and gas lease</w:t>
            </w:r>
            <w:r w:rsidR="00142D96" w:rsidRPr="00142D96">
              <w:t>.</w:t>
            </w:r>
            <w:r w:rsidR="00142D96">
              <w:t xml:space="preserve"> </w:t>
            </w:r>
            <w:r w:rsidR="0058424B">
              <w:t>H.B.</w:t>
            </w:r>
            <w:r w:rsidR="005E3A7D">
              <w:t> </w:t>
            </w:r>
            <w:r w:rsidR="0058424B">
              <w:t xml:space="preserve">450 </w:t>
            </w:r>
            <w:r w:rsidR="00142D96" w:rsidRPr="00142D96">
              <w:t xml:space="preserve">seeks to address </w:t>
            </w:r>
            <w:r w:rsidR="008725BA">
              <w:t>this issue by providing for a cause of action for a</w:t>
            </w:r>
            <w:r w:rsidR="00142D96" w:rsidRPr="00142D96">
              <w:t xml:space="preserve"> bad faith washout of overriding royalty interests.  </w:t>
            </w:r>
          </w:p>
          <w:p w14:paraId="135830EF" w14:textId="77777777" w:rsidR="008423E4" w:rsidRPr="00E26B13" w:rsidRDefault="008423E4" w:rsidP="00972288">
            <w:pPr>
              <w:rPr>
                <w:b/>
              </w:rPr>
            </w:pPr>
          </w:p>
        </w:tc>
      </w:tr>
      <w:tr w:rsidR="00936FE9" w14:paraId="0518B49B" w14:textId="77777777" w:rsidTr="00C44074">
        <w:tc>
          <w:tcPr>
            <w:tcW w:w="9360" w:type="dxa"/>
          </w:tcPr>
          <w:p w14:paraId="4CC14B57" w14:textId="77777777" w:rsidR="0017725B" w:rsidRDefault="00853CEF" w:rsidP="009722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E74272B" w14:textId="77777777" w:rsidR="0017725B" w:rsidRDefault="0017725B" w:rsidP="00972288">
            <w:pPr>
              <w:rPr>
                <w:b/>
                <w:u w:val="single"/>
              </w:rPr>
            </w:pPr>
          </w:p>
          <w:p w14:paraId="390F58F0" w14:textId="77777777" w:rsidR="001E0516" w:rsidRPr="001E0516" w:rsidRDefault="00853CEF" w:rsidP="00972288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CD3D17F" w14:textId="77777777" w:rsidR="0017725B" w:rsidRPr="0017725B" w:rsidRDefault="0017725B" w:rsidP="00972288">
            <w:pPr>
              <w:rPr>
                <w:b/>
                <w:u w:val="single"/>
              </w:rPr>
            </w:pPr>
          </w:p>
        </w:tc>
      </w:tr>
      <w:tr w:rsidR="00936FE9" w14:paraId="68A32B61" w14:textId="77777777" w:rsidTr="00C44074">
        <w:tc>
          <w:tcPr>
            <w:tcW w:w="9360" w:type="dxa"/>
          </w:tcPr>
          <w:p w14:paraId="1FD54C04" w14:textId="77777777" w:rsidR="008423E4" w:rsidRPr="00A8133F" w:rsidRDefault="00853CEF" w:rsidP="0097228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4D207A6" w14:textId="77777777" w:rsidR="008423E4" w:rsidRDefault="008423E4" w:rsidP="00972288"/>
          <w:p w14:paraId="187C4F1D" w14:textId="77777777" w:rsidR="001E0516" w:rsidRDefault="00853CEF" w:rsidP="009722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73F3BCE9" w14:textId="77777777" w:rsidR="008423E4" w:rsidRPr="00E21FDC" w:rsidRDefault="008423E4" w:rsidP="00972288">
            <w:pPr>
              <w:rPr>
                <w:b/>
              </w:rPr>
            </w:pPr>
          </w:p>
        </w:tc>
      </w:tr>
      <w:tr w:rsidR="00936FE9" w14:paraId="2CCA95BE" w14:textId="77777777" w:rsidTr="00C44074">
        <w:tc>
          <w:tcPr>
            <w:tcW w:w="9360" w:type="dxa"/>
          </w:tcPr>
          <w:p w14:paraId="56C42871" w14:textId="77777777" w:rsidR="008423E4" w:rsidRPr="00A8133F" w:rsidRDefault="00853CEF" w:rsidP="0097228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E5048B9" w14:textId="77777777" w:rsidR="008423E4" w:rsidRDefault="008423E4" w:rsidP="00972288"/>
          <w:p w14:paraId="2902BA99" w14:textId="36482FB0" w:rsidR="009C36CD" w:rsidRDefault="00853CEF" w:rsidP="009722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BF0AF9">
              <w:t xml:space="preserve">450 </w:t>
            </w:r>
            <w:r>
              <w:t>amends the Property Code to authorize a</w:t>
            </w:r>
            <w:r w:rsidRPr="00626A9C">
              <w:t xml:space="preserve"> person </w:t>
            </w:r>
            <w:r>
              <w:t>to</w:t>
            </w:r>
            <w:r w:rsidRPr="00626A9C">
              <w:t xml:space="preserve"> bring a cause of action</w:t>
            </w:r>
            <w:r w:rsidRPr="00626A9C">
              <w:t xml:space="preserve"> for a bad faith washout of the person's overriding royalty i</w:t>
            </w:r>
            <w:r>
              <w:t xml:space="preserve">nterest in an oil and gas lease </w:t>
            </w:r>
            <w:r w:rsidRPr="00626A9C">
              <w:t xml:space="preserve">in a district court of a county in which any part of the property subject to </w:t>
            </w:r>
            <w:r>
              <w:t>the lease is located</w:t>
            </w:r>
            <w:r w:rsidR="00CB405C">
              <w:t>. The bill</w:t>
            </w:r>
            <w:r>
              <w:t xml:space="preserve"> entitles the person </w:t>
            </w:r>
            <w:r w:rsidRPr="00626A9C">
              <w:t xml:space="preserve">to a remedy </w:t>
            </w:r>
            <w:r>
              <w:t xml:space="preserve">from </w:t>
            </w:r>
            <w:r w:rsidR="00637762">
              <w:t>that</w:t>
            </w:r>
            <w:r>
              <w:t xml:space="preserve"> action</w:t>
            </w:r>
            <w:r w:rsidRPr="00626A9C">
              <w:t xml:space="preserve"> if the</w:t>
            </w:r>
            <w:r w:rsidRPr="00626A9C">
              <w:t xml:space="preserve"> person proves by a preponderance of the evidence </w:t>
            </w:r>
            <w:r w:rsidR="00C37C68">
              <w:t>the following</w:t>
            </w:r>
            <w:r w:rsidRPr="00626A9C">
              <w:t>:</w:t>
            </w:r>
          </w:p>
          <w:p w14:paraId="68BD4DCE" w14:textId="09239724" w:rsidR="00626A9C" w:rsidRDefault="00853CEF" w:rsidP="0097228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that the person owned or had a legal right to the overriding royalty interest;</w:t>
            </w:r>
          </w:p>
          <w:p w14:paraId="415EC9F4" w14:textId="0B1D3567" w:rsidR="00626A9C" w:rsidRDefault="00853CEF" w:rsidP="0097228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that the defendant had control over the oil and gas lease burdened by the overriding royalty interest;</w:t>
            </w:r>
          </w:p>
          <w:p w14:paraId="6C76619E" w14:textId="08DB475E" w:rsidR="00626A9C" w:rsidRDefault="00853CEF" w:rsidP="00972288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that the </w:t>
            </w:r>
            <w:r>
              <w:t>defendant caused a washout of the person's overriding royalty interest; and</w:t>
            </w:r>
          </w:p>
          <w:p w14:paraId="148BCB49" w14:textId="1C142DD5" w:rsidR="00626A9C" w:rsidRDefault="00853CEF" w:rsidP="0097228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that the defendant acted in bad faith by knowingly or intentionally causing the washout.</w:t>
            </w:r>
          </w:p>
          <w:p w14:paraId="38BB11F5" w14:textId="1A6602D3" w:rsidR="00CB405C" w:rsidRDefault="00CB405C" w:rsidP="009722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035FE50" w14:textId="77777777" w:rsidR="00CB405C" w:rsidRDefault="00CB405C" w:rsidP="009722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2025DC0" w14:textId="74D7C52F" w:rsidR="00637762" w:rsidRDefault="00853CEF" w:rsidP="00972288">
            <w:pPr>
              <w:pStyle w:val="Header"/>
              <w:jc w:val="both"/>
            </w:pPr>
            <w:r>
              <w:t xml:space="preserve">H.B. </w:t>
            </w:r>
            <w:r w:rsidR="00BF0AF9">
              <w:t xml:space="preserve">450 </w:t>
            </w:r>
            <w:r w:rsidR="001E0516">
              <w:t xml:space="preserve">requires the </w:t>
            </w:r>
            <w:r w:rsidR="00C37C68">
              <w:t xml:space="preserve">person </w:t>
            </w:r>
            <w:r w:rsidR="001E0516">
              <w:t xml:space="preserve">to bring the action </w:t>
            </w:r>
            <w:r w:rsidR="001E0516" w:rsidRPr="001E0516">
              <w:t xml:space="preserve">not later than the second anniversary of the date </w:t>
            </w:r>
            <w:r w:rsidR="00142D96" w:rsidRPr="00142D96">
              <w:t xml:space="preserve">the person obtained actual knowledge that </w:t>
            </w:r>
            <w:r w:rsidR="001E0516" w:rsidRPr="001E0516">
              <w:t>t</w:t>
            </w:r>
            <w:r w:rsidR="001E0516">
              <w:t xml:space="preserve">he washout occurred. The bill </w:t>
            </w:r>
            <w:r>
              <w:t xml:space="preserve">authorizes an owner who prevails in the action to recover </w:t>
            </w:r>
            <w:r w:rsidR="00C37C68">
              <w:t xml:space="preserve">actual </w:t>
            </w:r>
            <w:r>
              <w:t xml:space="preserve">damages, </w:t>
            </w:r>
            <w:r w:rsidR="00C37C68">
              <w:t xml:space="preserve">court </w:t>
            </w:r>
            <w:r>
              <w:t xml:space="preserve">costs and </w:t>
            </w:r>
            <w:r w:rsidR="00C37C68">
              <w:t xml:space="preserve">attorney's </w:t>
            </w:r>
            <w:r>
              <w:t>fees</w:t>
            </w:r>
            <w:r w:rsidR="00C37C68">
              <w:t>,</w:t>
            </w:r>
            <w:r>
              <w:t xml:space="preserve"> and the enforcement of a constructive trust on the oil and gas lease or mineral estate acquired to accomplish the washout of the overriding royalty interest.</w:t>
            </w:r>
            <w:r w:rsidR="001E0516">
              <w:t xml:space="preserve"> </w:t>
            </w:r>
            <w:r w:rsidR="00EC6DBF">
              <w:t xml:space="preserve">These </w:t>
            </w:r>
            <w:r w:rsidR="001E0516">
              <w:t xml:space="preserve">remedies </w:t>
            </w:r>
            <w:r w:rsidR="001E0516" w:rsidRPr="001E0516">
              <w:t>are cumulative of other remedies provided by common law or statute.</w:t>
            </w:r>
          </w:p>
          <w:p w14:paraId="6D567543" w14:textId="77777777" w:rsidR="004A150F" w:rsidRDefault="004A150F" w:rsidP="00972288">
            <w:pPr>
              <w:pStyle w:val="Header"/>
              <w:jc w:val="both"/>
            </w:pPr>
          </w:p>
          <w:p w14:paraId="3CF8B60B" w14:textId="0F4B03AB" w:rsidR="004A150F" w:rsidRDefault="00853CEF" w:rsidP="00972288">
            <w:pPr>
              <w:pStyle w:val="Header"/>
              <w:jc w:val="both"/>
            </w:pPr>
            <w:r>
              <w:t>H.B. 450 defi</w:t>
            </w:r>
            <w:r>
              <w:t>nes the following terms for purposes of its provisions:</w:t>
            </w:r>
          </w:p>
          <w:p w14:paraId="2EE76546" w14:textId="69951BDA" w:rsidR="004A150F" w:rsidRDefault="00853CEF" w:rsidP="00972288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"bad faith" </w:t>
            </w:r>
            <w:r w:rsidR="008260F2">
              <w:t>means</w:t>
            </w:r>
            <w:r>
              <w:t xml:space="preserve"> the conscious taking of action for the purpose of washing out all or part of an overriding royalty interest; and</w:t>
            </w:r>
          </w:p>
          <w:p w14:paraId="30662422" w14:textId="185A6F03" w:rsidR="00A83D82" w:rsidRPr="00A83D82" w:rsidRDefault="00853CEF" w:rsidP="00972288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"washout" </w:t>
            </w:r>
            <w:r w:rsidR="008260F2">
              <w:t>means</w:t>
            </w:r>
            <w:r>
              <w:t xml:space="preserve"> </w:t>
            </w:r>
            <w:r w:rsidRPr="00A83D82">
              <w:t>the elimination or reduction of an overriding royalty</w:t>
            </w:r>
            <w:r w:rsidRPr="00A83D82">
              <w:t xml:space="preserve"> interest in an oil and gas lease by the forfeiture or surrender of the oil and gas lease by a lessee or the lessee's successors or assigns and the subsequent reacquisition of a lease, or all or part of the mineral estate associated with the lease, by the </w:t>
            </w:r>
            <w:r w:rsidRPr="00A83D82">
              <w:t>lessee or the lessee's successors, assigns, contractors, or subsidiaries on all or part of the same land, free of the overriding royalty interest.</w:t>
            </w:r>
          </w:p>
          <w:p w14:paraId="123EF749" w14:textId="14A165D1" w:rsidR="0058424B" w:rsidRDefault="0058424B" w:rsidP="00972288">
            <w:pPr>
              <w:pStyle w:val="Header"/>
              <w:jc w:val="both"/>
            </w:pPr>
          </w:p>
          <w:p w14:paraId="09270C0E" w14:textId="60618062" w:rsidR="008423E4" w:rsidRDefault="00853CEF" w:rsidP="00972288">
            <w:pPr>
              <w:pStyle w:val="Header"/>
              <w:jc w:val="both"/>
              <w:rPr>
                <w:b/>
              </w:rPr>
            </w:pPr>
            <w:r>
              <w:t xml:space="preserve">H.B. 450 applies only to a washout that occurs on or after the bill's effective date. </w:t>
            </w:r>
          </w:p>
          <w:p w14:paraId="3FD36B5D" w14:textId="1B899BB4" w:rsidR="0058424B" w:rsidRPr="00835628" w:rsidRDefault="0058424B" w:rsidP="00972288">
            <w:pPr>
              <w:rPr>
                <w:b/>
              </w:rPr>
            </w:pPr>
          </w:p>
        </w:tc>
      </w:tr>
      <w:tr w:rsidR="00936FE9" w14:paraId="0F2C2A11" w14:textId="77777777" w:rsidTr="00C44074">
        <w:tc>
          <w:tcPr>
            <w:tcW w:w="9360" w:type="dxa"/>
          </w:tcPr>
          <w:p w14:paraId="72DF7462" w14:textId="77777777" w:rsidR="008423E4" w:rsidRPr="00A8133F" w:rsidRDefault="00853CEF" w:rsidP="0097228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180D60E" w14:textId="77777777" w:rsidR="008423E4" w:rsidRDefault="008423E4" w:rsidP="00972288"/>
          <w:p w14:paraId="194F3836" w14:textId="3453B0C6" w:rsidR="008423E4" w:rsidRPr="00233FDB" w:rsidRDefault="00853CEF" w:rsidP="0097228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2C56755D" w14:textId="77777777" w:rsidR="008423E4" w:rsidRPr="00BE0E75" w:rsidRDefault="008423E4" w:rsidP="00972288">
      <w:pPr>
        <w:jc w:val="both"/>
        <w:rPr>
          <w:rFonts w:ascii="Arial" w:hAnsi="Arial"/>
          <w:sz w:val="16"/>
          <w:szCs w:val="16"/>
        </w:rPr>
      </w:pPr>
    </w:p>
    <w:p w14:paraId="0BE14A8E" w14:textId="77777777" w:rsidR="004108C3" w:rsidRPr="008423E4" w:rsidRDefault="004108C3" w:rsidP="0097228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2EFA" w14:textId="77777777" w:rsidR="00000000" w:rsidRDefault="00853CEF">
      <w:r>
        <w:separator/>
      </w:r>
    </w:p>
  </w:endnote>
  <w:endnote w:type="continuationSeparator" w:id="0">
    <w:p w14:paraId="6FFC43B3" w14:textId="77777777" w:rsidR="00000000" w:rsidRDefault="0085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D93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36FE9" w14:paraId="39D155CC" w14:textId="77777777" w:rsidTr="009C1E9A">
      <w:trPr>
        <w:cantSplit/>
      </w:trPr>
      <w:tc>
        <w:tcPr>
          <w:tcW w:w="0" w:type="pct"/>
        </w:tcPr>
        <w:p w14:paraId="35C463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A1D61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3184F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C818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9576B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36FE9" w14:paraId="05C6C0F1" w14:textId="77777777" w:rsidTr="009C1E9A">
      <w:trPr>
        <w:cantSplit/>
      </w:trPr>
      <w:tc>
        <w:tcPr>
          <w:tcW w:w="0" w:type="pct"/>
        </w:tcPr>
        <w:p w14:paraId="2ED5578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8B25B7" w14:textId="4E2AEC5E" w:rsidR="00EC379B" w:rsidRPr="009C1E9A" w:rsidRDefault="00853CE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19250-D</w:t>
          </w:r>
        </w:p>
      </w:tc>
      <w:tc>
        <w:tcPr>
          <w:tcW w:w="2453" w:type="pct"/>
        </w:tcPr>
        <w:p w14:paraId="7A32B13F" w14:textId="477BA641" w:rsidR="00EC379B" w:rsidRDefault="00853CE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E3A7D">
            <w:t>23.75.997</w:t>
          </w:r>
          <w:r>
            <w:fldChar w:fldCharType="end"/>
          </w:r>
        </w:p>
      </w:tc>
    </w:tr>
    <w:tr w:rsidR="00936FE9" w14:paraId="7A639A1C" w14:textId="77777777" w:rsidTr="009C1E9A">
      <w:trPr>
        <w:cantSplit/>
      </w:trPr>
      <w:tc>
        <w:tcPr>
          <w:tcW w:w="0" w:type="pct"/>
        </w:tcPr>
        <w:p w14:paraId="34E4853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DD65FA6" w14:textId="4D5A35DA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4203BA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39D08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36FE9" w14:paraId="0844822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A1C1144" w14:textId="7CDB8A9F" w:rsidR="00EC379B" w:rsidRDefault="00853CE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149C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1CF49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7410DC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C67B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9B81" w14:textId="77777777" w:rsidR="00000000" w:rsidRDefault="00853CEF">
      <w:r>
        <w:separator/>
      </w:r>
    </w:p>
  </w:footnote>
  <w:footnote w:type="continuationSeparator" w:id="0">
    <w:p w14:paraId="351FEF9E" w14:textId="77777777" w:rsidR="00000000" w:rsidRDefault="0085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5E9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4475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9905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359DF"/>
    <w:multiLevelType w:val="hybridMultilevel"/>
    <w:tmpl w:val="383EFCB8"/>
    <w:lvl w:ilvl="0" w:tplc="3D484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4D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D86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C5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AC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B29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EC9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06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60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B6C71"/>
    <w:multiLevelType w:val="hybridMultilevel"/>
    <w:tmpl w:val="65CCC958"/>
    <w:lvl w:ilvl="0" w:tplc="1E7E5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45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245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E8C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22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87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89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48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0A8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2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9C2"/>
    <w:rsid w:val="00014AF0"/>
    <w:rsid w:val="000155D6"/>
    <w:rsid w:val="00015D4E"/>
    <w:rsid w:val="0002092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126"/>
    <w:rsid w:val="000E46B0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0DC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D9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516"/>
    <w:rsid w:val="001E2CAD"/>
    <w:rsid w:val="001E34DB"/>
    <w:rsid w:val="001E37CD"/>
    <w:rsid w:val="001E4070"/>
    <w:rsid w:val="001E655E"/>
    <w:rsid w:val="001F3CB8"/>
    <w:rsid w:val="001F5A52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2156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2BB8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3F63"/>
    <w:rsid w:val="0030459C"/>
    <w:rsid w:val="00313DFE"/>
    <w:rsid w:val="003143B2"/>
    <w:rsid w:val="00314821"/>
    <w:rsid w:val="0031483F"/>
    <w:rsid w:val="0031741B"/>
    <w:rsid w:val="00320D6F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0E0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B3B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9E2"/>
    <w:rsid w:val="00453A5C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7F08"/>
    <w:rsid w:val="00492211"/>
    <w:rsid w:val="00492325"/>
    <w:rsid w:val="00492A6D"/>
    <w:rsid w:val="00494303"/>
    <w:rsid w:val="0049682B"/>
    <w:rsid w:val="004A03F7"/>
    <w:rsid w:val="004A081C"/>
    <w:rsid w:val="004A123F"/>
    <w:rsid w:val="004A150F"/>
    <w:rsid w:val="004A2172"/>
    <w:rsid w:val="004A7F10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113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8DA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C9B"/>
    <w:rsid w:val="0058424B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A7D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A9C"/>
    <w:rsid w:val="006272DD"/>
    <w:rsid w:val="00630963"/>
    <w:rsid w:val="00631897"/>
    <w:rsid w:val="00632928"/>
    <w:rsid w:val="006330DA"/>
    <w:rsid w:val="00633262"/>
    <w:rsid w:val="00633460"/>
    <w:rsid w:val="00637762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402"/>
    <w:rsid w:val="006B28D5"/>
    <w:rsid w:val="006B2A01"/>
    <w:rsid w:val="006B2B8C"/>
    <w:rsid w:val="006B2DEB"/>
    <w:rsid w:val="006B54C5"/>
    <w:rsid w:val="006B5E80"/>
    <w:rsid w:val="006B7A2E"/>
    <w:rsid w:val="006C4709"/>
    <w:rsid w:val="006C557F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DA2"/>
    <w:rsid w:val="007509BE"/>
    <w:rsid w:val="0075287B"/>
    <w:rsid w:val="00755C7B"/>
    <w:rsid w:val="0076359C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66C4"/>
    <w:rsid w:val="0080765F"/>
    <w:rsid w:val="00812BE3"/>
    <w:rsid w:val="00814516"/>
    <w:rsid w:val="00815C9D"/>
    <w:rsid w:val="008170E2"/>
    <w:rsid w:val="00823E4C"/>
    <w:rsid w:val="008260F2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3CEF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5BA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13F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6FE9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288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B8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557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FC1"/>
    <w:rsid w:val="00A3420E"/>
    <w:rsid w:val="00A34B6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3D82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34B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4C2"/>
    <w:rsid w:val="00B745DB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1786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AF9"/>
    <w:rsid w:val="00BF4949"/>
    <w:rsid w:val="00BF4D7C"/>
    <w:rsid w:val="00BF5085"/>
    <w:rsid w:val="00C013F4"/>
    <w:rsid w:val="00C040AB"/>
    <w:rsid w:val="00C0499B"/>
    <w:rsid w:val="00C05406"/>
    <w:rsid w:val="00C05CF0"/>
    <w:rsid w:val="00C06A91"/>
    <w:rsid w:val="00C119AC"/>
    <w:rsid w:val="00C14EE6"/>
    <w:rsid w:val="00C151DA"/>
    <w:rsid w:val="00C152A1"/>
    <w:rsid w:val="00C15C18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68"/>
    <w:rsid w:val="00C37C84"/>
    <w:rsid w:val="00C42B41"/>
    <w:rsid w:val="00C44074"/>
    <w:rsid w:val="00C46166"/>
    <w:rsid w:val="00C4710D"/>
    <w:rsid w:val="00C50CAD"/>
    <w:rsid w:val="00C51EF9"/>
    <w:rsid w:val="00C57933"/>
    <w:rsid w:val="00C60206"/>
    <w:rsid w:val="00C610CB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05C"/>
    <w:rsid w:val="00CB4B4B"/>
    <w:rsid w:val="00CB4B73"/>
    <w:rsid w:val="00CB74CB"/>
    <w:rsid w:val="00CB7E04"/>
    <w:rsid w:val="00CC24B7"/>
    <w:rsid w:val="00CC2CD6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78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6BD5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6DBF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0609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2DF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5DF6"/>
    <w:rsid w:val="00F96602"/>
    <w:rsid w:val="00F9735A"/>
    <w:rsid w:val="00FA32FC"/>
    <w:rsid w:val="00FA59FD"/>
    <w:rsid w:val="00FA5D8C"/>
    <w:rsid w:val="00FA6403"/>
    <w:rsid w:val="00FB16CD"/>
    <w:rsid w:val="00FB249A"/>
    <w:rsid w:val="00FB73AE"/>
    <w:rsid w:val="00FC5388"/>
    <w:rsid w:val="00FC726C"/>
    <w:rsid w:val="00FD1B4B"/>
    <w:rsid w:val="00FD1B94"/>
    <w:rsid w:val="00FD7EA2"/>
    <w:rsid w:val="00FE1022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3692B9-EBB8-41EF-8B6B-A0848977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E05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05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051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0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0516"/>
    <w:rPr>
      <w:b/>
      <w:bCs/>
    </w:rPr>
  </w:style>
  <w:style w:type="character" w:styleId="Hyperlink">
    <w:name w:val="Hyperlink"/>
    <w:basedOn w:val="DefaultParagraphFont"/>
    <w:unhideWhenUsed/>
    <w:rsid w:val="00A83D8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3D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10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2647</Characters>
  <Application>Microsoft Office Word</Application>
  <DocSecurity>4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HB00450 (Committee Report (Unamended))</vt:lpstr>
    </vt:vector>
  </TitlesOfParts>
  <Company>State of Texas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19250</dc:subject>
  <dc:creator>State of Texas</dc:creator>
  <dc:description>HB 450 by Craddick-(H)Judiciary &amp; Civil Jurisprudence</dc:description>
  <cp:lastModifiedBy>Damian Duarte</cp:lastModifiedBy>
  <cp:revision>2</cp:revision>
  <cp:lastPrinted>2003-11-26T17:21:00Z</cp:lastPrinted>
  <dcterms:created xsi:type="dcterms:W3CDTF">2023-03-21T19:14:00Z</dcterms:created>
  <dcterms:modified xsi:type="dcterms:W3CDTF">2023-03-21T19:14:00Z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23.75.997</vt:lpwstr>
  </property>
</Properties>
</file>