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64A21" w14:paraId="38CE7903" w14:textId="77777777" w:rsidTr="00345119">
        <w:tc>
          <w:tcPr>
            <w:tcW w:w="9576" w:type="dxa"/>
            <w:noWrap/>
          </w:tcPr>
          <w:p w14:paraId="6808E88E" w14:textId="77777777" w:rsidR="008423E4" w:rsidRPr="0022177D" w:rsidRDefault="00CE4F64" w:rsidP="00BC7733">
            <w:pPr>
              <w:pStyle w:val="Heading1"/>
            </w:pPr>
            <w:r w:rsidRPr="00631897">
              <w:t>BILL ANALYSIS</w:t>
            </w:r>
          </w:p>
        </w:tc>
      </w:tr>
    </w:tbl>
    <w:p w14:paraId="6405315E" w14:textId="77777777" w:rsidR="008423E4" w:rsidRPr="0022177D" w:rsidRDefault="008423E4" w:rsidP="00BC7733">
      <w:pPr>
        <w:jc w:val="center"/>
      </w:pPr>
    </w:p>
    <w:p w14:paraId="3643D5B7" w14:textId="77777777" w:rsidR="008423E4" w:rsidRPr="00B31F0E" w:rsidRDefault="008423E4" w:rsidP="00BC7733"/>
    <w:p w14:paraId="636A9CE7" w14:textId="77777777" w:rsidR="008423E4" w:rsidRPr="00742794" w:rsidRDefault="008423E4" w:rsidP="00BC773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4A21" w14:paraId="320BF775" w14:textId="77777777" w:rsidTr="00345119">
        <w:tc>
          <w:tcPr>
            <w:tcW w:w="9576" w:type="dxa"/>
          </w:tcPr>
          <w:p w14:paraId="0C123871" w14:textId="42BAAB31" w:rsidR="008423E4" w:rsidRPr="00861995" w:rsidRDefault="00CE4F64" w:rsidP="00BC7733">
            <w:pPr>
              <w:jc w:val="right"/>
            </w:pPr>
            <w:r>
              <w:t>C.S.H.B. 476</w:t>
            </w:r>
          </w:p>
        </w:tc>
      </w:tr>
      <w:tr w:rsidR="00A64A21" w14:paraId="5DA3F65A" w14:textId="77777777" w:rsidTr="00345119">
        <w:tc>
          <w:tcPr>
            <w:tcW w:w="9576" w:type="dxa"/>
          </w:tcPr>
          <w:p w14:paraId="10210405" w14:textId="29C84E2F" w:rsidR="008423E4" w:rsidRPr="00861995" w:rsidRDefault="00CE4F64" w:rsidP="00BC7733">
            <w:pPr>
              <w:jc w:val="right"/>
            </w:pPr>
            <w:r>
              <w:t xml:space="preserve">By: </w:t>
            </w:r>
            <w:r w:rsidR="009275EB">
              <w:t>Jones, Jolanda</w:t>
            </w:r>
          </w:p>
        </w:tc>
      </w:tr>
      <w:tr w:rsidR="00A64A21" w14:paraId="7A85A9C8" w14:textId="77777777" w:rsidTr="00345119">
        <w:tc>
          <w:tcPr>
            <w:tcW w:w="9576" w:type="dxa"/>
          </w:tcPr>
          <w:p w14:paraId="762EBFEC" w14:textId="299CF6BA" w:rsidR="008423E4" w:rsidRPr="00861995" w:rsidRDefault="00CE4F64" w:rsidP="00BC7733">
            <w:pPr>
              <w:jc w:val="right"/>
            </w:pPr>
            <w:r>
              <w:t>Criminal Jurisprudence</w:t>
            </w:r>
          </w:p>
        </w:tc>
      </w:tr>
      <w:tr w:rsidR="00A64A21" w14:paraId="506228E9" w14:textId="77777777" w:rsidTr="00345119">
        <w:tc>
          <w:tcPr>
            <w:tcW w:w="9576" w:type="dxa"/>
          </w:tcPr>
          <w:p w14:paraId="74CF50F8" w14:textId="6755D24D" w:rsidR="008423E4" w:rsidRDefault="00CE4F64" w:rsidP="00BC7733">
            <w:pPr>
              <w:jc w:val="right"/>
            </w:pPr>
            <w:r>
              <w:t>Committee Report (Substituted)</w:t>
            </w:r>
          </w:p>
        </w:tc>
      </w:tr>
    </w:tbl>
    <w:p w14:paraId="60C8655C" w14:textId="77777777" w:rsidR="008423E4" w:rsidRDefault="008423E4" w:rsidP="00BC7733">
      <w:pPr>
        <w:tabs>
          <w:tab w:val="right" w:pos="9360"/>
        </w:tabs>
      </w:pPr>
    </w:p>
    <w:p w14:paraId="02E557C9" w14:textId="77777777" w:rsidR="008423E4" w:rsidRDefault="008423E4" w:rsidP="00BC7733"/>
    <w:p w14:paraId="336579EF" w14:textId="77777777" w:rsidR="008423E4" w:rsidRDefault="008423E4" w:rsidP="00BC773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64A21" w14:paraId="00D1284D" w14:textId="77777777" w:rsidTr="00345119">
        <w:tc>
          <w:tcPr>
            <w:tcW w:w="9576" w:type="dxa"/>
          </w:tcPr>
          <w:p w14:paraId="57039D57" w14:textId="77777777" w:rsidR="008423E4" w:rsidRPr="00A8133F" w:rsidRDefault="00CE4F64" w:rsidP="00BC77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B80971" w14:textId="77777777" w:rsidR="008423E4" w:rsidRDefault="008423E4" w:rsidP="00BC7733"/>
          <w:p w14:paraId="6F4F1109" w14:textId="3F5B533C" w:rsidR="008423E4" w:rsidRDefault="00CE4F64" w:rsidP="00BC7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8213D">
              <w:t xml:space="preserve">The criminal justice system is meant to create accountability and righteousness in our society. Yet the massive backlog of cases across Texas counties, exacerbated by the </w:t>
            </w:r>
            <w:r w:rsidR="000A7255">
              <w:t>COVID-19</w:t>
            </w:r>
            <w:r w:rsidR="000A7255" w:rsidRPr="0098213D">
              <w:t xml:space="preserve"> </w:t>
            </w:r>
            <w:r w:rsidRPr="0098213D">
              <w:t>pandemic, has created a situation where accused individuals are detained for</w:t>
            </w:r>
            <w:r w:rsidRPr="0098213D">
              <w:t xml:space="preserve"> excess periods of months to years. Detaining an accused person for extraordinary periods of time violates the </w:t>
            </w:r>
            <w:r w:rsidR="008143A5">
              <w:t>c</w:t>
            </w:r>
            <w:r w:rsidRPr="0098213D">
              <w:t xml:space="preserve">onstitutional protection against unlawful detainment. Additionally, these excessive detainments </w:t>
            </w:r>
            <w:r w:rsidR="00642437">
              <w:t xml:space="preserve">can </w:t>
            </w:r>
            <w:r w:rsidRPr="0098213D">
              <w:t xml:space="preserve">cost taxpayers millions of dollars </w:t>
            </w:r>
            <w:r w:rsidR="00642437">
              <w:t>e</w:t>
            </w:r>
            <w:r w:rsidRPr="0098213D">
              <w:t>a</w:t>
            </w:r>
            <w:r w:rsidR="00642437">
              <w:t>ch</w:t>
            </w:r>
            <w:r w:rsidRPr="0098213D">
              <w:t xml:space="preserve"> year</w:t>
            </w:r>
            <w:r w:rsidRPr="0098213D">
              <w:t xml:space="preserve">. </w:t>
            </w:r>
            <w:r w:rsidR="008143A5">
              <w:t>C.S.</w:t>
            </w:r>
            <w:r w:rsidRPr="0098213D">
              <w:t>H.B.</w:t>
            </w:r>
            <w:r w:rsidR="00996D9E">
              <w:t> </w:t>
            </w:r>
            <w:r w:rsidRPr="0098213D">
              <w:t xml:space="preserve">476 </w:t>
            </w:r>
            <w:r w:rsidR="00FF54B9">
              <w:t xml:space="preserve">seeks to address </w:t>
            </w:r>
            <w:r w:rsidRPr="0098213D">
              <w:t xml:space="preserve">this issue by </w:t>
            </w:r>
            <w:r w:rsidR="00642437">
              <w:t xml:space="preserve">prohibiting the detention of certain defendants </w:t>
            </w:r>
            <w:r w:rsidR="009A760B">
              <w:t xml:space="preserve">for a period </w:t>
            </w:r>
            <w:r w:rsidR="00642437">
              <w:t xml:space="preserve">longer than the </w:t>
            </w:r>
            <w:r w:rsidR="000A7255">
              <w:t xml:space="preserve">maximum </w:t>
            </w:r>
            <w:r w:rsidR="00642437">
              <w:t xml:space="preserve">term of confinement that would be imposed on the defendant for the alleged offense. </w:t>
            </w:r>
          </w:p>
          <w:p w14:paraId="474D7011" w14:textId="77777777" w:rsidR="008423E4" w:rsidRPr="00E26B13" w:rsidRDefault="008423E4" w:rsidP="00BC7733">
            <w:pPr>
              <w:rPr>
                <w:b/>
              </w:rPr>
            </w:pPr>
          </w:p>
        </w:tc>
      </w:tr>
      <w:tr w:rsidR="00A64A21" w14:paraId="6BED08CD" w14:textId="77777777" w:rsidTr="00345119">
        <w:tc>
          <w:tcPr>
            <w:tcW w:w="9576" w:type="dxa"/>
          </w:tcPr>
          <w:p w14:paraId="7303C991" w14:textId="77777777" w:rsidR="0017725B" w:rsidRDefault="00CE4F64" w:rsidP="00BC77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58B756" w14:textId="77777777" w:rsidR="0017725B" w:rsidRDefault="0017725B" w:rsidP="00BC7733">
            <w:pPr>
              <w:rPr>
                <w:b/>
                <w:u w:val="single"/>
              </w:rPr>
            </w:pPr>
          </w:p>
          <w:p w14:paraId="0A6E2EA4" w14:textId="400007C5" w:rsidR="00B47189" w:rsidRPr="00B47189" w:rsidRDefault="00CE4F64" w:rsidP="00BC7733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606DB607" w14:textId="77777777" w:rsidR="0017725B" w:rsidRPr="0017725B" w:rsidRDefault="0017725B" w:rsidP="00BC7733">
            <w:pPr>
              <w:rPr>
                <w:b/>
                <w:u w:val="single"/>
              </w:rPr>
            </w:pPr>
          </w:p>
        </w:tc>
      </w:tr>
      <w:tr w:rsidR="00A64A21" w14:paraId="54C1214E" w14:textId="77777777" w:rsidTr="00345119">
        <w:tc>
          <w:tcPr>
            <w:tcW w:w="9576" w:type="dxa"/>
          </w:tcPr>
          <w:p w14:paraId="7F778DA4" w14:textId="77777777" w:rsidR="008423E4" w:rsidRPr="00A8133F" w:rsidRDefault="00CE4F64" w:rsidP="00BC77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81BF72" w14:textId="77777777" w:rsidR="008423E4" w:rsidRDefault="008423E4" w:rsidP="00BC7733"/>
          <w:p w14:paraId="4E89B080" w14:textId="1344ECF4" w:rsidR="00B47189" w:rsidRDefault="00CE4F64" w:rsidP="00BC7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333D3C" w14:textId="77777777" w:rsidR="008423E4" w:rsidRPr="00E21FDC" w:rsidRDefault="008423E4" w:rsidP="00BC7733">
            <w:pPr>
              <w:rPr>
                <w:b/>
              </w:rPr>
            </w:pPr>
          </w:p>
        </w:tc>
      </w:tr>
      <w:tr w:rsidR="00A64A21" w14:paraId="37160A7C" w14:textId="77777777" w:rsidTr="00345119">
        <w:tc>
          <w:tcPr>
            <w:tcW w:w="9576" w:type="dxa"/>
          </w:tcPr>
          <w:p w14:paraId="10278694" w14:textId="77777777" w:rsidR="008423E4" w:rsidRPr="00A8133F" w:rsidRDefault="00CE4F64" w:rsidP="00BC77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629C0E" w14:textId="77777777" w:rsidR="008423E4" w:rsidRDefault="008423E4" w:rsidP="00BC7733"/>
          <w:p w14:paraId="750B9AE6" w14:textId="5BA3DB7E" w:rsidR="00D834F9" w:rsidRDefault="00CE4F64" w:rsidP="00BC7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47189">
              <w:t>H.B. 476 amends the Code of Criminal Procedure to prohibit the detention of a</w:t>
            </w:r>
            <w:r w:rsidR="009A760B">
              <w:t>n applicable</w:t>
            </w:r>
            <w:r w:rsidR="00B47189" w:rsidRPr="00B47189">
              <w:t xml:space="preserve"> defendant in jail pending trial for a cumulative period </w:t>
            </w:r>
            <w:r w:rsidRPr="00D834F9">
              <w:t>that, when considering the maximum credit toward the defendant's sentence to which the defendant would be entitled to earn as a result of the defen</w:t>
            </w:r>
            <w:r w:rsidRPr="00D834F9">
              <w:t>dant's conduct while confined in the county jail of the county in which the offense occurred,</w:t>
            </w:r>
            <w:r>
              <w:t xml:space="preserve"> </w:t>
            </w:r>
            <w:r w:rsidR="00B47189" w:rsidRPr="00B47189">
              <w:t>exceeds the maximum term of confinement that may be imposed on conviction of the offense of which the defendant is accused.</w:t>
            </w:r>
            <w:r w:rsidR="00B47189">
              <w:t xml:space="preserve"> </w:t>
            </w:r>
            <w:r w:rsidR="009275EB">
              <w:t xml:space="preserve">The bill </w:t>
            </w:r>
            <w:r w:rsidR="003F6D35">
              <w:t>excludes</w:t>
            </w:r>
            <w:r w:rsidR="009275EB">
              <w:t xml:space="preserve"> the following defendants from the prohibition</w:t>
            </w:r>
            <w:r>
              <w:t>:</w:t>
            </w:r>
          </w:p>
          <w:p w14:paraId="380F2E9D" w14:textId="0278BC32" w:rsidR="00D834F9" w:rsidRDefault="00CE4F64" w:rsidP="00BC773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defendant who is being evaluated for competency or subject to an order of commitment issued</w:t>
            </w:r>
            <w:r w:rsidR="00CB2F8D">
              <w:t xml:space="preserve"> after the defendant is found incompetent to stand trial;</w:t>
            </w:r>
          </w:p>
          <w:p w14:paraId="66E110B5" w14:textId="67F55C80" w:rsidR="009A760B" w:rsidRDefault="00CE4F64" w:rsidP="00BC773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defendant charged with a Class C misdemeanor </w:t>
            </w:r>
            <w:r w:rsidR="003F6D35">
              <w:t>for</w:t>
            </w:r>
            <w:r>
              <w:t xml:space="preserve"> public intoxication and no </w:t>
            </w:r>
            <w:r>
              <w:t xml:space="preserve">other offense; or </w:t>
            </w:r>
          </w:p>
          <w:p w14:paraId="65155882" w14:textId="52AC0E14" w:rsidR="00D834F9" w:rsidRDefault="00CE4F64" w:rsidP="00BC773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defendant </w:t>
            </w:r>
            <w:r w:rsidR="009275EB">
              <w:t>charged with a</w:t>
            </w:r>
            <w:r w:rsidR="003F6D35">
              <w:t>ny other</w:t>
            </w:r>
            <w:r w:rsidR="009275EB">
              <w:t xml:space="preserve"> </w:t>
            </w:r>
            <w:r w:rsidR="00CB2F8D">
              <w:t>Class C misdemeanor</w:t>
            </w:r>
            <w:r w:rsidR="003F6D35">
              <w:t xml:space="preserve"> </w:t>
            </w:r>
            <w:r>
              <w:t>who</w:t>
            </w:r>
            <w:r w:rsidR="00CB2F8D">
              <w:t xml:space="preserve"> is also being detained due to an outstanding warrant</w:t>
            </w:r>
            <w:r w:rsidR="003F6D35">
              <w:t xml:space="preserve"> for any offense</w:t>
            </w:r>
            <w:r w:rsidR="009275EB">
              <w:t>.</w:t>
            </w:r>
            <w:r w:rsidR="00CB2F8D">
              <w:t xml:space="preserve"> </w:t>
            </w:r>
          </w:p>
          <w:p w14:paraId="1062BB24" w14:textId="77777777" w:rsidR="009A760B" w:rsidRDefault="009A760B" w:rsidP="00BC7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099914" w14:textId="6CD88C79" w:rsidR="009C36CD" w:rsidRPr="009C36CD" w:rsidRDefault="00CE4F64" w:rsidP="00BC7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476</w:t>
            </w:r>
            <w:r w:rsidR="00053199">
              <w:t xml:space="preserve"> </w:t>
            </w:r>
            <w:r w:rsidR="00B47189">
              <w:t>appl</w:t>
            </w:r>
            <w:r w:rsidR="00053199">
              <w:t>ies</w:t>
            </w:r>
            <w:r w:rsidR="00B47189">
              <w:t xml:space="preserve"> </w:t>
            </w:r>
            <w:r w:rsidR="00B47189" w:rsidRPr="00B47189">
              <w:t xml:space="preserve">to a person who is arrested on or after </w:t>
            </w:r>
            <w:r w:rsidR="00053199">
              <w:t>the bill</w:t>
            </w:r>
            <w:r w:rsidR="00B0512A">
              <w:t>'</w:t>
            </w:r>
            <w:r w:rsidR="00053199">
              <w:t>s effective date</w:t>
            </w:r>
            <w:r w:rsidR="00B47189" w:rsidRPr="00B47189">
              <w:t>.</w:t>
            </w:r>
          </w:p>
          <w:p w14:paraId="744285DB" w14:textId="77777777" w:rsidR="008423E4" w:rsidRPr="00835628" w:rsidRDefault="008423E4" w:rsidP="00BC7733">
            <w:pPr>
              <w:rPr>
                <w:b/>
              </w:rPr>
            </w:pPr>
          </w:p>
        </w:tc>
      </w:tr>
      <w:tr w:rsidR="00A64A21" w14:paraId="271F8137" w14:textId="77777777" w:rsidTr="00345119">
        <w:tc>
          <w:tcPr>
            <w:tcW w:w="9576" w:type="dxa"/>
          </w:tcPr>
          <w:p w14:paraId="639D0E7D" w14:textId="77777777" w:rsidR="008423E4" w:rsidRPr="00A8133F" w:rsidRDefault="00CE4F64" w:rsidP="00BC77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41AA47" w14:textId="77777777" w:rsidR="008423E4" w:rsidRDefault="008423E4" w:rsidP="00BC7733"/>
          <w:p w14:paraId="412E299A" w14:textId="397E3322" w:rsidR="008423E4" w:rsidRPr="003624F2" w:rsidRDefault="00CE4F64" w:rsidP="00BC7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22FEE18C" w14:textId="77777777" w:rsidR="008423E4" w:rsidRPr="00233FDB" w:rsidRDefault="008423E4" w:rsidP="00BC7733">
            <w:pPr>
              <w:rPr>
                <w:b/>
              </w:rPr>
            </w:pPr>
          </w:p>
        </w:tc>
      </w:tr>
      <w:tr w:rsidR="00A64A21" w14:paraId="50E79401" w14:textId="77777777" w:rsidTr="00345119">
        <w:tc>
          <w:tcPr>
            <w:tcW w:w="9576" w:type="dxa"/>
          </w:tcPr>
          <w:p w14:paraId="6DA064C1" w14:textId="77777777" w:rsidR="009275EB" w:rsidRDefault="00CE4F64" w:rsidP="00BC7733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B8E8651" w14:textId="77777777" w:rsidR="003B5431" w:rsidRDefault="003B5431" w:rsidP="00BC7733">
            <w:pPr>
              <w:keepNext/>
              <w:jc w:val="both"/>
            </w:pPr>
          </w:p>
          <w:p w14:paraId="50D2C753" w14:textId="1D7A57B2" w:rsidR="003B5431" w:rsidRDefault="00CE4F64" w:rsidP="00BC7733">
            <w:pPr>
              <w:jc w:val="both"/>
            </w:pPr>
            <w:r>
              <w:t xml:space="preserve">While C.S.H.B. 476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7E17ED2E" w14:textId="6EBB704B" w:rsidR="009A760B" w:rsidRDefault="009A760B" w:rsidP="00BC7733">
            <w:pPr>
              <w:jc w:val="both"/>
            </w:pPr>
          </w:p>
          <w:p w14:paraId="09FB3B5C" w14:textId="097BB603" w:rsidR="00342C82" w:rsidRDefault="00CE4F64" w:rsidP="00BC7733">
            <w:pPr>
              <w:jc w:val="both"/>
            </w:pPr>
            <w:r>
              <w:t xml:space="preserve">The substitute </w:t>
            </w:r>
            <w:r w:rsidR="00777844">
              <w:t xml:space="preserve">includes </w:t>
            </w:r>
            <w:r w:rsidR="003F6D35">
              <w:t>a</w:t>
            </w:r>
            <w:r w:rsidR="00777844">
              <w:t xml:space="preserve"> specification</w:t>
            </w:r>
            <w:r w:rsidR="003F6D35">
              <w:t xml:space="preserve"> absent from the introduced</w:t>
            </w:r>
            <w:r w:rsidR="00777844">
              <w:t xml:space="preserve"> that </w:t>
            </w:r>
            <w:r w:rsidR="00905A45">
              <w:t>the cumulative period for which an applicable defendant's detention may not exceed the maximum term of confinement that may be imposed on the defendant is based on</w:t>
            </w:r>
            <w:r w:rsidR="00291A47">
              <w:t xml:space="preserve"> </w:t>
            </w:r>
            <w:r w:rsidRPr="00342C82">
              <w:t>the maximum credit toward the defendant's sentence to which the defendant would be entitled to earn as a result of the defendant's conduct while confined in the county jail of the county in which the offense occurred</w:t>
            </w:r>
            <w:r>
              <w:t xml:space="preserve">. </w:t>
            </w:r>
          </w:p>
          <w:p w14:paraId="54EA1D97" w14:textId="77777777" w:rsidR="00342C82" w:rsidRDefault="00342C82" w:rsidP="00BC7733">
            <w:pPr>
              <w:jc w:val="both"/>
            </w:pPr>
          </w:p>
          <w:p w14:paraId="392EBBCE" w14:textId="20B613C7" w:rsidR="003B5431" w:rsidRPr="003B5431" w:rsidRDefault="00CE4F64" w:rsidP="00BC7733">
            <w:pPr>
              <w:jc w:val="both"/>
            </w:pPr>
            <w:r>
              <w:t>The substitu</w:t>
            </w:r>
            <w:r>
              <w:t xml:space="preserve">te includes a provision </w:t>
            </w:r>
            <w:r w:rsidR="00291A47">
              <w:t>exclud</w:t>
            </w:r>
            <w:r w:rsidR="00644434">
              <w:t>ing</w:t>
            </w:r>
            <w:r w:rsidR="00291A47">
              <w:t xml:space="preserve"> </w:t>
            </w:r>
            <w:r w:rsidR="001D3B72">
              <w:t xml:space="preserve">from the bill's prohibition </w:t>
            </w:r>
            <w:r>
              <w:t>defendants</w:t>
            </w:r>
            <w:r w:rsidR="008075E8">
              <w:t xml:space="preserve"> charged with </w:t>
            </w:r>
            <w:r w:rsidR="001D3B72">
              <w:t>a Class C misdemeanor public intoxication</w:t>
            </w:r>
            <w:r w:rsidR="00B603F0">
              <w:t xml:space="preserve"> offense</w:t>
            </w:r>
            <w:r w:rsidR="001D3B72">
              <w:t xml:space="preserve">, or any other Class C misdemeanor </w:t>
            </w:r>
            <w:r w:rsidR="00DB0A34">
              <w:t>and also</w:t>
            </w:r>
            <w:r w:rsidR="001D3B72">
              <w:t xml:space="preserve"> being detained due to an outstanding warrant, and defendants</w:t>
            </w:r>
            <w:r w:rsidR="008075E8">
              <w:t xml:space="preserve"> being evaluated for competency or subject to an order of commitment</w:t>
            </w:r>
            <w:r w:rsidR="00644434">
              <w:t xml:space="preserve">, whereas the introduced did not provide for </w:t>
            </w:r>
            <w:r w:rsidR="008075E8">
              <w:t>any such</w:t>
            </w:r>
            <w:r w:rsidR="00644434">
              <w:t xml:space="preserve"> exclusion. </w:t>
            </w:r>
          </w:p>
        </w:tc>
      </w:tr>
      <w:tr w:rsidR="00A64A21" w14:paraId="4AACA1B3" w14:textId="77777777" w:rsidTr="00345119">
        <w:tc>
          <w:tcPr>
            <w:tcW w:w="9576" w:type="dxa"/>
          </w:tcPr>
          <w:p w14:paraId="4A62C858" w14:textId="77777777" w:rsidR="009275EB" w:rsidRPr="009C1E9A" w:rsidRDefault="009275EB" w:rsidP="00BC7733">
            <w:pPr>
              <w:rPr>
                <w:b/>
                <w:u w:val="single"/>
              </w:rPr>
            </w:pPr>
          </w:p>
        </w:tc>
      </w:tr>
      <w:tr w:rsidR="00A64A21" w14:paraId="32FC110D" w14:textId="77777777" w:rsidTr="00345119">
        <w:tc>
          <w:tcPr>
            <w:tcW w:w="9576" w:type="dxa"/>
          </w:tcPr>
          <w:p w14:paraId="0E000CE9" w14:textId="77777777" w:rsidR="009275EB" w:rsidRPr="009275EB" w:rsidRDefault="009275EB" w:rsidP="00BC7733">
            <w:pPr>
              <w:jc w:val="both"/>
            </w:pPr>
          </w:p>
        </w:tc>
      </w:tr>
    </w:tbl>
    <w:p w14:paraId="7EACEE26" w14:textId="77777777" w:rsidR="008423E4" w:rsidRPr="00BE0E75" w:rsidRDefault="008423E4" w:rsidP="00BC7733">
      <w:pPr>
        <w:jc w:val="both"/>
        <w:rPr>
          <w:rFonts w:ascii="Arial" w:hAnsi="Arial"/>
          <w:sz w:val="16"/>
          <w:szCs w:val="16"/>
        </w:rPr>
      </w:pPr>
    </w:p>
    <w:p w14:paraId="4B391978" w14:textId="77777777" w:rsidR="004108C3" w:rsidRPr="008423E4" w:rsidRDefault="004108C3" w:rsidP="00BC773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E3E9" w14:textId="77777777" w:rsidR="00000000" w:rsidRDefault="00CE4F64">
      <w:r>
        <w:separator/>
      </w:r>
    </w:p>
  </w:endnote>
  <w:endnote w:type="continuationSeparator" w:id="0">
    <w:p w14:paraId="12DD2895" w14:textId="77777777" w:rsidR="00000000" w:rsidRDefault="00C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32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4A21" w14:paraId="73A4F5F4" w14:textId="77777777" w:rsidTr="009C1E9A">
      <w:trPr>
        <w:cantSplit/>
      </w:trPr>
      <w:tc>
        <w:tcPr>
          <w:tcW w:w="0" w:type="pct"/>
        </w:tcPr>
        <w:p w14:paraId="6E6640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B773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E922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CA2E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5BFA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4A21" w14:paraId="557D27CF" w14:textId="77777777" w:rsidTr="009C1E9A">
      <w:trPr>
        <w:cantSplit/>
      </w:trPr>
      <w:tc>
        <w:tcPr>
          <w:tcW w:w="0" w:type="pct"/>
        </w:tcPr>
        <w:p w14:paraId="1A7C97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CB7397" w14:textId="4198213B" w:rsidR="00EC379B" w:rsidRPr="009C1E9A" w:rsidRDefault="00CE4F6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22408-D</w:t>
          </w:r>
        </w:p>
      </w:tc>
      <w:tc>
        <w:tcPr>
          <w:tcW w:w="2453" w:type="pct"/>
        </w:tcPr>
        <w:p w14:paraId="701E4D02" w14:textId="2D9506BB" w:rsidR="00EC379B" w:rsidRDefault="00CE4F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6D9E">
            <w:t>23.96.1193</w:t>
          </w:r>
          <w:r>
            <w:fldChar w:fldCharType="end"/>
          </w:r>
        </w:p>
      </w:tc>
    </w:tr>
    <w:tr w:rsidR="00A64A21" w14:paraId="4D804178" w14:textId="77777777" w:rsidTr="009C1E9A">
      <w:trPr>
        <w:cantSplit/>
      </w:trPr>
      <w:tc>
        <w:tcPr>
          <w:tcW w:w="0" w:type="pct"/>
        </w:tcPr>
        <w:p w14:paraId="3D6D013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D3C291" w14:textId="05B212EB" w:rsidR="00EC379B" w:rsidRPr="009C1E9A" w:rsidRDefault="00CE4F6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20220</w:t>
          </w:r>
        </w:p>
      </w:tc>
      <w:tc>
        <w:tcPr>
          <w:tcW w:w="2453" w:type="pct"/>
        </w:tcPr>
        <w:p w14:paraId="6BDC01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3745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4A21" w14:paraId="04A06B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5C811E" w14:textId="77777777" w:rsidR="00EC379B" w:rsidRDefault="00CE4F6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D244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4C97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67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E439" w14:textId="77777777" w:rsidR="00000000" w:rsidRDefault="00CE4F64">
      <w:r>
        <w:separator/>
      </w:r>
    </w:p>
  </w:footnote>
  <w:footnote w:type="continuationSeparator" w:id="0">
    <w:p w14:paraId="04DF66E4" w14:textId="77777777" w:rsidR="00000000" w:rsidRDefault="00CE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78D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B97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A36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D9"/>
    <w:multiLevelType w:val="hybridMultilevel"/>
    <w:tmpl w:val="9DCAF782"/>
    <w:lvl w:ilvl="0" w:tplc="F7B6A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E8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C0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1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8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6D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46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86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07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C24"/>
    <w:multiLevelType w:val="hybridMultilevel"/>
    <w:tmpl w:val="B2586EFE"/>
    <w:lvl w:ilvl="0" w:tplc="943C5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45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CB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21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C5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C0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6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4C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199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633"/>
    <w:rsid w:val="000A7255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B72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959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A4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16C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C82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43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3EA"/>
    <w:rsid w:val="003D726D"/>
    <w:rsid w:val="003E0875"/>
    <w:rsid w:val="003E0BB8"/>
    <w:rsid w:val="003E6CB0"/>
    <w:rsid w:val="003F1F5E"/>
    <w:rsid w:val="003F286A"/>
    <w:rsid w:val="003F6D3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D80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437"/>
    <w:rsid w:val="00644434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844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5E8"/>
    <w:rsid w:val="0080765F"/>
    <w:rsid w:val="00812BE3"/>
    <w:rsid w:val="008143A5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EAF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9FB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A45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5EB"/>
    <w:rsid w:val="00930897"/>
    <w:rsid w:val="009320D2"/>
    <w:rsid w:val="009329FB"/>
    <w:rsid w:val="00932C77"/>
    <w:rsid w:val="0093417F"/>
    <w:rsid w:val="00934417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13D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D9E"/>
    <w:rsid w:val="009A1883"/>
    <w:rsid w:val="009A39F5"/>
    <w:rsid w:val="009A4588"/>
    <w:rsid w:val="009A5EA5"/>
    <w:rsid w:val="009A760B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78A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834"/>
    <w:rsid w:val="00A151B5"/>
    <w:rsid w:val="00A220FF"/>
    <w:rsid w:val="00A227E0"/>
    <w:rsid w:val="00A232E4"/>
    <w:rsid w:val="00A24AAD"/>
    <w:rsid w:val="00A26A8A"/>
    <w:rsid w:val="00A27255"/>
    <w:rsid w:val="00A32304"/>
    <w:rsid w:val="00A33E37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A2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12A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B53"/>
    <w:rsid w:val="00B26437"/>
    <w:rsid w:val="00B2678E"/>
    <w:rsid w:val="00B30647"/>
    <w:rsid w:val="00B31F0E"/>
    <w:rsid w:val="00B34F25"/>
    <w:rsid w:val="00B43672"/>
    <w:rsid w:val="00B47189"/>
    <w:rsid w:val="00B473D8"/>
    <w:rsid w:val="00B5165A"/>
    <w:rsid w:val="00B524C1"/>
    <w:rsid w:val="00B52C8D"/>
    <w:rsid w:val="00B564BF"/>
    <w:rsid w:val="00B603F0"/>
    <w:rsid w:val="00B6104E"/>
    <w:rsid w:val="00B610C7"/>
    <w:rsid w:val="00B62106"/>
    <w:rsid w:val="00B626A8"/>
    <w:rsid w:val="00B65695"/>
    <w:rsid w:val="00B66526"/>
    <w:rsid w:val="00B665A3"/>
    <w:rsid w:val="00B73BB4"/>
    <w:rsid w:val="00B75E61"/>
    <w:rsid w:val="00B80532"/>
    <w:rsid w:val="00B82039"/>
    <w:rsid w:val="00B82454"/>
    <w:rsid w:val="00B90097"/>
    <w:rsid w:val="00B90999"/>
    <w:rsid w:val="00B91AD7"/>
    <w:rsid w:val="00B92D23"/>
    <w:rsid w:val="00B95BC8"/>
    <w:rsid w:val="00B96C50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733"/>
    <w:rsid w:val="00BD0A32"/>
    <w:rsid w:val="00BD3681"/>
    <w:rsid w:val="00BD4E55"/>
    <w:rsid w:val="00BD513B"/>
    <w:rsid w:val="00BD5C02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27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F8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F6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AF4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5FA"/>
    <w:rsid w:val="00D76631"/>
    <w:rsid w:val="00D768B7"/>
    <w:rsid w:val="00D77492"/>
    <w:rsid w:val="00D811E8"/>
    <w:rsid w:val="00D81A44"/>
    <w:rsid w:val="00D83072"/>
    <w:rsid w:val="00D834F9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A34"/>
    <w:rsid w:val="00DB311F"/>
    <w:rsid w:val="00DB44E8"/>
    <w:rsid w:val="00DB5223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3F3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9BE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212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4B9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7A9BF6-85EE-409E-9089-7D04C5B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471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7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71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189"/>
    <w:rPr>
      <w:b/>
      <w:bCs/>
    </w:rPr>
  </w:style>
  <w:style w:type="paragraph" w:styleId="Revision">
    <w:name w:val="Revision"/>
    <w:hidden/>
    <w:uiPriority w:val="99"/>
    <w:semiHidden/>
    <w:rsid w:val="000531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681"/>
    <w:pPr>
      <w:ind w:left="720"/>
      <w:contextualSpacing/>
    </w:pPr>
  </w:style>
  <w:style w:type="character" w:styleId="Hyperlink">
    <w:name w:val="Hyperlink"/>
    <w:basedOn w:val="DefaultParagraphFont"/>
    <w:unhideWhenUsed/>
    <w:rsid w:val="008143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5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2966</Characters>
  <Application>Microsoft Office Word</Application>
  <DocSecurity>4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HB00476 (Committee Report (Substituted))</vt:lpstr>
    </vt:vector>
  </TitlesOfParts>
  <Company>State of Texas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22408</dc:subject>
  <dc:creator>State of Texas</dc:creator>
  <dc:description>HB 476 by Jones, Jolanda-(H)Criminal Jurisprudence (Substitute Document Number: 88R 20220)</dc:description>
  <cp:lastModifiedBy>Matthew Lee</cp:lastModifiedBy>
  <cp:revision>2</cp:revision>
  <cp:lastPrinted>2003-11-26T17:21:00Z</cp:lastPrinted>
  <dcterms:created xsi:type="dcterms:W3CDTF">2023-04-19T23:33:00Z</dcterms:created>
  <dcterms:modified xsi:type="dcterms:W3CDTF">2023-04-19T23:33:00Z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23.96.1193</vt:lpwstr>
  </property>
</Properties>
</file>