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866BC" w14:paraId="5F80E2F7" w14:textId="77777777" w:rsidTr="00345119">
        <w:tc>
          <w:tcPr>
            <w:tcW w:w="9576" w:type="dxa"/>
            <w:noWrap/>
          </w:tcPr>
          <w:p w14:paraId="7A6067F4" w14:textId="77777777" w:rsidR="008423E4" w:rsidRPr="0022177D" w:rsidRDefault="00F82577" w:rsidP="00502876">
            <w:pPr>
              <w:pStyle w:val="Heading1"/>
            </w:pPr>
            <w:r w:rsidRPr="00631897">
              <w:t>BILL ANALYSIS</w:t>
            </w:r>
          </w:p>
        </w:tc>
      </w:tr>
    </w:tbl>
    <w:p w14:paraId="6E900A26" w14:textId="77777777" w:rsidR="008423E4" w:rsidRPr="00502876" w:rsidRDefault="008423E4" w:rsidP="00502876">
      <w:pPr>
        <w:jc w:val="center"/>
        <w:rPr>
          <w:sz w:val="20"/>
          <w:szCs w:val="20"/>
        </w:rPr>
      </w:pPr>
    </w:p>
    <w:p w14:paraId="26E24DA4" w14:textId="77777777" w:rsidR="008423E4" w:rsidRPr="00502876" w:rsidRDefault="008423E4" w:rsidP="00502876">
      <w:pPr>
        <w:rPr>
          <w:sz w:val="20"/>
          <w:szCs w:val="20"/>
        </w:rPr>
      </w:pPr>
    </w:p>
    <w:p w14:paraId="52C94D8A" w14:textId="77777777" w:rsidR="008423E4" w:rsidRPr="00502876" w:rsidRDefault="008423E4" w:rsidP="00502876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866BC" w14:paraId="0416A230" w14:textId="77777777" w:rsidTr="00345119">
        <w:tc>
          <w:tcPr>
            <w:tcW w:w="9576" w:type="dxa"/>
          </w:tcPr>
          <w:p w14:paraId="0FB0937B" w14:textId="3ECDCDB9" w:rsidR="008423E4" w:rsidRPr="00861995" w:rsidRDefault="00F82577" w:rsidP="00502876">
            <w:pPr>
              <w:jc w:val="right"/>
            </w:pPr>
            <w:r>
              <w:t>H.B. 506</w:t>
            </w:r>
          </w:p>
        </w:tc>
      </w:tr>
      <w:tr w:rsidR="00B866BC" w14:paraId="313EAA8C" w14:textId="77777777" w:rsidTr="00345119">
        <w:tc>
          <w:tcPr>
            <w:tcW w:w="9576" w:type="dxa"/>
          </w:tcPr>
          <w:p w14:paraId="7358D05E" w14:textId="0E3B4D17" w:rsidR="008423E4" w:rsidRPr="00861995" w:rsidRDefault="00F82577" w:rsidP="00502876">
            <w:pPr>
              <w:jc w:val="right"/>
            </w:pPr>
            <w:r>
              <w:t xml:space="preserve">By: </w:t>
            </w:r>
            <w:r w:rsidR="008E2929">
              <w:t>Wu</w:t>
            </w:r>
          </w:p>
        </w:tc>
      </w:tr>
      <w:tr w:rsidR="00B866BC" w14:paraId="3F65A549" w14:textId="77777777" w:rsidTr="00345119">
        <w:tc>
          <w:tcPr>
            <w:tcW w:w="9576" w:type="dxa"/>
          </w:tcPr>
          <w:p w14:paraId="4C219533" w14:textId="1790997C" w:rsidR="008423E4" w:rsidRPr="00861995" w:rsidRDefault="00F82577" w:rsidP="00502876">
            <w:pPr>
              <w:jc w:val="right"/>
            </w:pPr>
            <w:r>
              <w:t>Juvenile Justice &amp; Family Issues</w:t>
            </w:r>
          </w:p>
        </w:tc>
      </w:tr>
      <w:tr w:rsidR="00B866BC" w14:paraId="6823C10A" w14:textId="77777777" w:rsidTr="00345119">
        <w:tc>
          <w:tcPr>
            <w:tcW w:w="9576" w:type="dxa"/>
          </w:tcPr>
          <w:p w14:paraId="3982C09B" w14:textId="26AC1013" w:rsidR="008423E4" w:rsidRDefault="00F82577" w:rsidP="00502876">
            <w:pPr>
              <w:jc w:val="right"/>
            </w:pPr>
            <w:r>
              <w:t>Committee Report (Unamended)</w:t>
            </w:r>
          </w:p>
        </w:tc>
      </w:tr>
    </w:tbl>
    <w:p w14:paraId="3EB18874" w14:textId="5E036852" w:rsidR="008423E4" w:rsidRPr="001D0E64" w:rsidRDefault="008423E4" w:rsidP="00502876">
      <w:pPr>
        <w:tabs>
          <w:tab w:val="right" w:pos="9360"/>
        </w:tabs>
        <w:rPr>
          <w:sz w:val="20"/>
          <w:szCs w:val="20"/>
        </w:rPr>
      </w:pPr>
    </w:p>
    <w:p w14:paraId="43C5E82E" w14:textId="77777777" w:rsidR="001D0E64" w:rsidRPr="001D0E64" w:rsidRDefault="001D0E64" w:rsidP="00502876">
      <w:pPr>
        <w:tabs>
          <w:tab w:val="right" w:pos="9360"/>
        </w:tabs>
        <w:rPr>
          <w:sz w:val="20"/>
          <w:szCs w:val="20"/>
        </w:rPr>
      </w:pPr>
    </w:p>
    <w:p w14:paraId="36EC2CA3" w14:textId="77777777" w:rsidR="008423E4" w:rsidRPr="001D0E64" w:rsidRDefault="008423E4" w:rsidP="00502876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866BC" w14:paraId="3E4059E0" w14:textId="77777777" w:rsidTr="00345119">
        <w:tc>
          <w:tcPr>
            <w:tcW w:w="9576" w:type="dxa"/>
          </w:tcPr>
          <w:p w14:paraId="504A9F0B" w14:textId="5DB84533" w:rsidR="008423E4" w:rsidRDefault="00F82577" w:rsidP="0050287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143A972" w14:textId="77777777" w:rsidR="007D4B5F" w:rsidRPr="001D0E64" w:rsidRDefault="007D4B5F" w:rsidP="00502876">
            <w:pPr>
              <w:rPr>
                <w:bCs/>
                <w:sz w:val="20"/>
                <w:szCs w:val="20"/>
              </w:rPr>
            </w:pPr>
          </w:p>
          <w:p w14:paraId="5B766A68" w14:textId="7CDF0FA8" w:rsidR="008423E4" w:rsidRDefault="00F82577" w:rsidP="00502876">
            <w:pPr>
              <w:pStyle w:val="Header"/>
              <w:jc w:val="both"/>
            </w:pPr>
            <w:r>
              <w:t>The use of restraints on juveniles during</w:t>
            </w:r>
            <w:r w:rsidR="001C3A10">
              <w:t xml:space="preserve"> </w:t>
            </w:r>
            <w:r>
              <w:t>judicial proceedings</w:t>
            </w:r>
            <w:r w:rsidR="00521E2E">
              <w:t xml:space="preserve"> could</w:t>
            </w:r>
            <w:r w:rsidR="001C3A10">
              <w:t xml:space="preserve"> put</w:t>
            </w:r>
            <w:r>
              <w:t xml:space="preserve"> these</w:t>
            </w:r>
            <w:r w:rsidR="001C3A10">
              <w:t xml:space="preserve"> youth at a disadvantage in court</w:t>
            </w:r>
            <w:r>
              <w:t>, as the use of restraints</w:t>
            </w:r>
            <w:r w:rsidR="001C3A10">
              <w:t xml:space="preserve"> may cloud the presumption of innocence, lead to biases in judges and juries, and interfere with the attorney-client relationship. </w:t>
            </w:r>
            <w:r w:rsidR="00A51AA5" w:rsidRPr="00A51AA5">
              <w:t>Furthermore, juveniles often appear in court in correctional uniforms</w:t>
            </w:r>
            <w:r w:rsidR="00A51AA5">
              <w:t>,</w:t>
            </w:r>
            <w:r w:rsidR="00A51AA5" w:rsidRPr="00A51AA5">
              <w:t xml:space="preserve"> which projects an image of criminality that may</w:t>
            </w:r>
            <w:r w:rsidR="00A51AA5">
              <w:t xml:space="preserve"> also</w:t>
            </w:r>
            <w:r w:rsidR="00A51AA5" w:rsidRPr="00A51AA5">
              <w:t xml:space="preserve"> bias judges and juries and lead to unfair assumptions that violate the presumption of innocence</w:t>
            </w:r>
            <w:r w:rsidR="001C3A10">
              <w:t>. H.B</w:t>
            </w:r>
            <w:r w:rsidR="00521E2E">
              <w:t>.</w:t>
            </w:r>
            <w:r w:rsidR="001C3A10">
              <w:t xml:space="preserve"> 506 seeks to address these issues by restricting the use of restraints in juvenile court </w:t>
            </w:r>
            <w:r>
              <w:t>proceed</w:t>
            </w:r>
            <w:r>
              <w:t xml:space="preserve">ings </w:t>
            </w:r>
            <w:r w:rsidR="00521E2E">
              <w:t xml:space="preserve">and </w:t>
            </w:r>
            <w:r>
              <w:t>by requiring the court to permit a child to wear clothing other than a uniform provided by a detention or correctional facility</w:t>
            </w:r>
            <w:r w:rsidR="001C3A10">
              <w:t xml:space="preserve">. </w:t>
            </w:r>
          </w:p>
          <w:p w14:paraId="57BB0F21" w14:textId="67199502" w:rsidR="007D4B5F" w:rsidRPr="004B60EE" w:rsidRDefault="007D4B5F" w:rsidP="00502876">
            <w:pPr>
              <w:pStyle w:val="Header"/>
              <w:jc w:val="both"/>
            </w:pPr>
          </w:p>
        </w:tc>
      </w:tr>
      <w:tr w:rsidR="00B866BC" w14:paraId="4D46287F" w14:textId="77777777" w:rsidTr="00345119">
        <w:tc>
          <w:tcPr>
            <w:tcW w:w="9576" w:type="dxa"/>
          </w:tcPr>
          <w:p w14:paraId="2A1FB7DC" w14:textId="57378B3B" w:rsidR="0017725B" w:rsidRDefault="00F82577" w:rsidP="005028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E52ABB" w14:textId="77777777" w:rsidR="007D4B5F" w:rsidRPr="001D0E64" w:rsidRDefault="007D4B5F" w:rsidP="00502876">
            <w:pPr>
              <w:rPr>
                <w:bCs/>
                <w:sz w:val="20"/>
                <w:szCs w:val="20"/>
              </w:rPr>
            </w:pPr>
          </w:p>
          <w:p w14:paraId="6E31AEF6" w14:textId="77777777" w:rsidR="0017725B" w:rsidRDefault="00F82577" w:rsidP="00502876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495E99FC" w14:textId="1AA95BC1" w:rsidR="007D4B5F" w:rsidRPr="004B60EE" w:rsidRDefault="007D4B5F" w:rsidP="00502876">
            <w:pPr>
              <w:jc w:val="both"/>
            </w:pPr>
          </w:p>
        </w:tc>
      </w:tr>
      <w:tr w:rsidR="00B866BC" w14:paraId="01E8CF03" w14:textId="77777777" w:rsidTr="00345119">
        <w:tc>
          <w:tcPr>
            <w:tcW w:w="9576" w:type="dxa"/>
          </w:tcPr>
          <w:p w14:paraId="7FB39A08" w14:textId="4FF191D4" w:rsidR="008423E4" w:rsidRDefault="00F82577" w:rsidP="0050287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745992" w14:textId="77777777" w:rsidR="007D4B5F" w:rsidRPr="001D0E64" w:rsidRDefault="007D4B5F" w:rsidP="00502876">
            <w:pPr>
              <w:rPr>
                <w:bCs/>
                <w:sz w:val="20"/>
                <w:szCs w:val="20"/>
              </w:rPr>
            </w:pPr>
          </w:p>
          <w:p w14:paraId="55BE9239" w14:textId="77777777" w:rsidR="008423E4" w:rsidRDefault="00F82577" w:rsidP="00502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4FDA39D0" w14:textId="7A66D321" w:rsidR="007D4B5F" w:rsidRPr="004B60EE" w:rsidRDefault="007D4B5F" w:rsidP="00502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866BC" w14:paraId="7C248029" w14:textId="77777777" w:rsidTr="00345119">
        <w:tc>
          <w:tcPr>
            <w:tcW w:w="9576" w:type="dxa"/>
          </w:tcPr>
          <w:p w14:paraId="5FF5096A" w14:textId="07B923D0" w:rsidR="004B60EE" w:rsidRDefault="00F82577" w:rsidP="0050287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9F857A" w14:textId="77777777" w:rsidR="007D4B5F" w:rsidRPr="001D0E64" w:rsidRDefault="007D4B5F" w:rsidP="00502876">
            <w:pPr>
              <w:rPr>
                <w:bCs/>
                <w:sz w:val="20"/>
                <w:szCs w:val="20"/>
              </w:rPr>
            </w:pPr>
          </w:p>
          <w:p w14:paraId="33389660" w14:textId="04D8D12F" w:rsidR="00333FBB" w:rsidRPr="004B60EE" w:rsidRDefault="00F82577" w:rsidP="00502876">
            <w:pPr>
              <w:jc w:val="both"/>
              <w:rPr>
                <w:b/>
              </w:rPr>
            </w:pPr>
            <w:r>
              <w:t xml:space="preserve">H.B. </w:t>
            </w:r>
            <w:r w:rsidR="00FD7F5D">
              <w:t>506</w:t>
            </w:r>
            <w:r>
              <w:t xml:space="preserve"> amends the Family Code to prohibit the use of a mechanical</w:t>
            </w:r>
            <w:r>
              <w:t xml:space="preserve"> or physical restraint on a child during a judicial proceeding and to require the removal of any restraint before the child's appearance before the court unless the court finds </w:t>
            </w:r>
            <w:r w:rsidR="00FD7F5D">
              <w:t>the following</w:t>
            </w:r>
            <w:r>
              <w:t>:</w:t>
            </w:r>
          </w:p>
          <w:p w14:paraId="1CEDC090" w14:textId="5EC5A30D" w:rsidR="00333FBB" w:rsidRDefault="00F82577" w:rsidP="0050287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use of </w:t>
            </w:r>
            <w:r w:rsidR="00A67B7E">
              <w:t>the</w:t>
            </w:r>
            <w:r>
              <w:t xml:space="preserve"> restraint is necessary to prevent physical injury</w:t>
            </w:r>
            <w:r>
              <w:t xml:space="preserve"> to the child or another</w:t>
            </w:r>
            <w:r w:rsidR="008D3DBB">
              <w:t xml:space="preserve"> </w:t>
            </w:r>
            <w:r w:rsidR="00B21A66">
              <w:t xml:space="preserve">person </w:t>
            </w:r>
            <w:r w:rsidR="008D3DBB">
              <w:t>or</w:t>
            </w:r>
            <w:r>
              <w:t xml:space="preserve"> </w:t>
            </w:r>
            <w:r w:rsidR="008D3DBB">
              <w:t xml:space="preserve">because </w:t>
            </w:r>
            <w:r w:rsidR="008D3DBB" w:rsidRPr="00EF2B0B">
              <w:t>the child presents a substantial risk of flight from the courtroom</w:t>
            </w:r>
            <w:r w:rsidR="008D3DBB">
              <w:t xml:space="preserve"> or has a</w:t>
            </w:r>
            <w:r>
              <w:t xml:space="preserve"> history of disruptive courtroom behavior that has placed others in potentially harmful situations; and</w:t>
            </w:r>
          </w:p>
          <w:p w14:paraId="68010610" w14:textId="43946C04" w:rsidR="00333FBB" w:rsidRDefault="00F82577" w:rsidP="0050287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restraint used is the least re</w:t>
            </w:r>
            <w:r>
              <w:t xml:space="preserve">strictive restraint effective to prevent </w:t>
            </w:r>
            <w:r w:rsidR="00EF2B0B">
              <w:t xml:space="preserve">the child's escape or </w:t>
            </w:r>
            <w:r>
              <w:t>physical injury to the child or another</w:t>
            </w:r>
            <w:r w:rsidR="00B21A66">
              <w:t xml:space="preserve"> person</w:t>
            </w:r>
            <w:r>
              <w:t>.</w:t>
            </w:r>
          </w:p>
          <w:p w14:paraId="0A528508" w14:textId="13FF1E98" w:rsidR="00333FBB" w:rsidRDefault="00F82577" w:rsidP="00502876">
            <w:pPr>
              <w:pStyle w:val="Header"/>
              <w:jc w:val="both"/>
            </w:pPr>
            <w:r>
              <w:t>The bill requires the court to provide the child's attorney an opportunity to be heard before order</w:t>
            </w:r>
            <w:r w:rsidR="008D3DBB">
              <w:t>ing</w:t>
            </w:r>
            <w:r>
              <w:t xml:space="preserve"> the use of a mechanical or physical restra</w:t>
            </w:r>
            <w:r>
              <w:t>int and</w:t>
            </w:r>
            <w:r w:rsidR="00805E2F">
              <w:t>,</w:t>
            </w:r>
            <w:r>
              <w:t xml:space="preserve"> </w:t>
            </w:r>
            <w:r w:rsidR="000E38E1">
              <w:t>if</w:t>
            </w:r>
            <w:r>
              <w:t xml:space="preserve"> order</w:t>
            </w:r>
            <w:r w:rsidR="000E38E1">
              <w:t xml:space="preserve">ed, </w:t>
            </w:r>
            <w:r>
              <w:t>to make findings of fact in support of the order.</w:t>
            </w:r>
          </w:p>
          <w:p w14:paraId="1AC648FE" w14:textId="77777777" w:rsidR="00333FBB" w:rsidRPr="001D0E64" w:rsidRDefault="00333FBB" w:rsidP="00502876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08C053F4" w14:textId="77777777" w:rsidR="008423E4" w:rsidRDefault="00F82577" w:rsidP="00502876">
            <w:pPr>
              <w:pStyle w:val="Header"/>
              <w:jc w:val="both"/>
            </w:pPr>
            <w:r>
              <w:t xml:space="preserve">H.B. </w:t>
            </w:r>
            <w:r w:rsidR="00FD7F5D">
              <w:t>506</w:t>
            </w:r>
            <w:r>
              <w:t xml:space="preserve"> requires a court</w:t>
            </w:r>
            <w:r>
              <w:t xml:space="preserve"> to permit a child during a judicial proceeding to wear clothing other than a uniform provided by a detention or correctional facility if the child's attorney requests the court's permission for the child to wear other clothing and the child's attorney or </w:t>
            </w:r>
            <w:r>
              <w:t xml:space="preserve">family member provides the child with appropriate clothing. The bill authorizes the court to deny such a request only if </w:t>
            </w:r>
            <w:r w:rsidR="00D92B2B">
              <w:t>it</w:t>
            </w:r>
            <w:r>
              <w:t xml:space="preserve"> finds that granting the request would present a substantial risk of the child's flight from the courtroom or a safety risk to the ch</w:t>
            </w:r>
            <w:r>
              <w:t>ild or another</w:t>
            </w:r>
            <w:r w:rsidR="00C6778F">
              <w:t xml:space="preserve"> person</w:t>
            </w:r>
            <w:r>
              <w:t>.</w:t>
            </w:r>
          </w:p>
          <w:p w14:paraId="291A9720" w14:textId="539B52B2" w:rsidR="007D4B5F" w:rsidRPr="004B60EE" w:rsidRDefault="007D4B5F" w:rsidP="00502876">
            <w:pPr>
              <w:pStyle w:val="Header"/>
              <w:jc w:val="both"/>
            </w:pPr>
          </w:p>
        </w:tc>
      </w:tr>
      <w:tr w:rsidR="00B866BC" w14:paraId="065FDBF5" w14:textId="77777777" w:rsidTr="00345119">
        <w:tc>
          <w:tcPr>
            <w:tcW w:w="9576" w:type="dxa"/>
          </w:tcPr>
          <w:p w14:paraId="34049DE5" w14:textId="2D933E21" w:rsidR="008423E4" w:rsidRDefault="00F82577" w:rsidP="0050287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C33BF4" w14:textId="77777777" w:rsidR="007D4B5F" w:rsidRPr="001D0E64" w:rsidRDefault="007D4B5F" w:rsidP="00502876">
            <w:pPr>
              <w:rPr>
                <w:bCs/>
                <w:sz w:val="20"/>
                <w:szCs w:val="20"/>
              </w:rPr>
            </w:pPr>
          </w:p>
          <w:p w14:paraId="5E3A8727" w14:textId="6C97D448" w:rsidR="008423E4" w:rsidRPr="00502876" w:rsidRDefault="00F82577" w:rsidP="00502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FD7F5D">
              <w:t>3</w:t>
            </w:r>
            <w:r>
              <w:t>.</w:t>
            </w:r>
          </w:p>
        </w:tc>
      </w:tr>
    </w:tbl>
    <w:p w14:paraId="7BA14249" w14:textId="77777777" w:rsidR="004108C3" w:rsidRPr="00502876" w:rsidRDefault="004108C3" w:rsidP="00502876">
      <w:pPr>
        <w:rPr>
          <w:sz w:val="2"/>
          <w:szCs w:val="2"/>
        </w:rPr>
      </w:pPr>
    </w:p>
    <w:sectPr w:rsidR="004108C3" w:rsidRPr="00502876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D8B8" w14:textId="77777777" w:rsidR="00000000" w:rsidRDefault="00F82577">
      <w:r>
        <w:separator/>
      </w:r>
    </w:p>
  </w:endnote>
  <w:endnote w:type="continuationSeparator" w:id="0">
    <w:p w14:paraId="2B54D46C" w14:textId="77777777" w:rsidR="00000000" w:rsidRDefault="00F8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4A8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866BC" w14:paraId="6D98D364" w14:textId="77777777" w:rsidTr="009C1E9A">
      <w:trPr>
        <w:cantSplit/>
      </w:trPr>
      <w:tc>
        <w:tcPr>
          <w:tcW w:w="0" w:type="pct"/>
        </w:tcPr>
        <w:p w14:paraId="736DFC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6E54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AAD7A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2028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D14D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66BC" w14:paraId="5609ECF8" w14:textId="77777777" w:rsidTr="009C1E9A">
      <w:trPr>
        <w:cantSplit/>
      </w:trPr>
      <w:tc>
        <w:tcPr>
          <w:tcW w:w="0" w:type="pct"/>
        </w:tcPr>
        <w:p w14:paraId="1AF293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22850D" w14:textId="3BA1ABC7" w:rsidR="00EC379B" w:rsidRPr="009C1E9A" w:rsidRDefault="00F8257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24337-D</w:t>
          </w:r>
        </w:p>
      </w:tc>
      <w:tc>
        <w:tcPr>
          <w:tcW w:w="2453" w:type="pct"/>
        </w:tcPr>
        <w:p w14:paraId="32573145" w14:textId="14689466" w:rsidR="00EC379B" w:rsidRDefault="00F8257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2BDE">
            <w:t>23.107.1053</w:t>
          </w:r>
          <w:r>
            <w:fldChar w:fldCharType="end"/>
          </w:r>
        </w:p>
      </w:tc>
    </w:tr>
    <w:tr w:rsidR="00B866BC" w14:paraId="6C7B53EE" w14:textId="77777777" w:rsidTr="009C1E9A">
      <w:trPr>
        <w:cantSplit/>
      </w:trPr>
      <w:tc>
        <w:tcPr>
          <w:tcW w:w="0" w:type="pct"/>
        </w:tcPr>
        <w:p w14:paraId="55D4DC2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0FB4B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F95A34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AA6CFB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66BC" w14:paraId="543734E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24FB0FE" w14:textId="19E8B793" w:rsidR="00EC379B" w:rsidRDefault="00F8257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66B7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645F0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4F4F56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40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17D2" w14:textId="77777777" w:rsidR="00000000" w:rsidRDefault="00F82577">
      <w:r>
        <w:separator/>
      </w:r>
    </w:p>
  </w:footnote>
  <w:footnote w:type="continuationSeparator" w:id="0">
    <w:p w14:paraId="4DFEFF16" w14:textId="77777777" w:rsidR="00000000" w:rsidRDefault="00F8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C25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E84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CB8D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81A"/>
    <w:multiLevelType w:val="hybridMultilevel"/>
    <w:tmpl w:val="5A3AD502"/>
    <w:lvl w:ilvl="0" w:tplc="397A5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5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6C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C7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2E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4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6B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4F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B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551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C99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8E1"/>
    <w:rsid w:val="000E5B20"/>
    <w:rsid w:val="000E65E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47E7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DE7"/>
    <w:rsid w:val="00171BF2"/>
    <w:rsid w:val="0017347B"/>
    <w:rsid w:val="00176180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A10"/>
    <w:rsid w:val="001C60B5"/>
    <w:rsid w:val="001C61B0"/>
    <w:rsid w:val="001C7957"/>
    <w:rsid w:val="001C7DB8"/>
    <w:rsid w:val="001C7EA8"/>
    <w:rsid w:val="001D0E64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2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B60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087"/>
    <w:rsid w:val="00333930"/>
    <w:rsid w:val="00333FBB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7453"/>
    <w:rsid w:val="00370155"/>
    <w:rsid w:val="003712D5"/>
    <w:rsid w:val="003747DF"/>
    <w:rsid w:val="00374A66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2EB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BDE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DB9"/>
    <w:rsid w:val="004B138F"/>
    <w:rsid w:val="004B412A"/>
    <w:rsid w:val="004B576C"/>
    <w:rsid w:val="004B60EE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876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E2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2F25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251"/>
    <w:rsid w:val="00764786"/>
    <w:rsid w:val="00766E12"/>
    <w:rsid w:val="0077098E"/>
    <w:rsid w:val="00771287"/>
    <w:rsid w:val="0077149E"/>
    <w:rsid w:val="00777518"/>
    <w:rsid w:val="0077779E"/>
    <w:rsid w:val="00780FB6"/>
    <w:rsid w:val="00784D42"/>
    <w:rsid w:val="0078552A"/>
    <w:rsid w:val="00785729"/>
    <w:rsid w:val="00786058"/>
    <w:rsid w:val="007906D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AE2"/>
    <w:rsid w:val="007B4FCA"/>
    <w:rsid w:val="007B7B85"/>
    <w:rsid w:val="007C462E"/>
    <w:rsid w:val="007C496B"/>
    <w:rsid w:val="007C6803"/>
    <w:rsid w:val="007D2892"/>
    <w:rsid w:val="007D2DCC"/>
    <w:rsid w:val="007D47E1"/>
    <w:rsid w:val="007D4B5F"/>
    <w:rsid w:val="007D7FCB"/>
    <w:rsid w:val="007E33B6"/>
    <w:rsid w:val="007E4C23"/>
    <w:rsid w:val="007E59E8"/>
    <w:rsid w:val="007F2AEF"/>
    <w:rsid w:val="007F3861"/>
    <w:rsid w:val="007F4162"/>
    <w:rsid w:val="007F450A"/>
    <w:rsid w:val="007F5441"/>
    <w:rsid w:val="007F7668"/>
    <w:rsid w:val="00800C63"/>
    <w:rsid w:val="00802243"/>
    <w:rsid w:val="008023D4"/>
    <w:rsid w:val="00805402"/>
    <w:rsid w:val="00805E2F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5D7"/>
    <w:rsid w:val="008618E7"/>
    <w:rsid w:val="00861995"/>
    <w:rsid w:val="0086231A"/>
    <w:rsid w:val="0086344A"/>
    <w:rsid w:val="0086477C"/>
    <w:rsid w:val="00864BAD"/>
    <w:rsid w:val="00866F9D"/>
    <w:rsid w:val="008673D9"/>
    <w:rsid w:val="00871775"/>
    <w:rsid w:val="00871AEF"/>
    <w:rsid w:val="008726E5"/>
    <w:rsid w:val="0087289E"/>
    <w:rsid w:val="00873569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876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3DBB"/>
    <w:rsid w:val="008D58F9"/>
    <w:rsid w:val="008E292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1B07"/>
    <w:rsid w:val="00946044"/>
    <w:rsid w:val="009465AB"/>
    <w:rsid w:val="00946DEE"/>
    <w:rsid w:val="0095336C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1D2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18B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C6E"/>
    <w:rsid w:val="009D002B"/>
    <w:rsid w:val="009D37C7"/>
    <w:rsid w:val="009D4BBD"/>
    <w:rsid w:val="009D5A41"/>
    <w:rsid w:val="009E13BF"/>
    <w:rsid w:val="009E2127"/>
    <w:rsid w:val="009E3631"/>
    <w:rsid w:val="009E3EB9"/>
    <w:rsid w:val="009E69C2"/>
    <w:rsid w:val="009E70AF"/>
    <w:rsid w:val="009E7AEB"/>
    <w:rsid w:val="009F0673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AA5"/>
    <w:rsid w:val="00A51F3E"/>
    <w:rsid w:val="00A53605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7B7E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74C"/>
    <w:rsid w:val="00AD7780"/>
    <w:rsid w:val="00AD7D4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C33"/>
    <w:rsid w:val="00B04CB0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1A66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6BC"/>
    <w:rsid w:val="00B90097"/>
    <w:rsid w:val="00B90999"/>
    <w:rsid w:val="00B91AD7"/>
    <w:rsid w:val="00B92D23"/>
    <w:rsid w:val="00B95BC8"/>
    <w:rsid w:val="00B96E87"/>
    <w:rsid w:val="00BA146A"/>
    <w:rsid w:val="00BA1843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1755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EE8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78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35C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83C"/>
    <w:rsid w:val="00CC7131"/>
    <w:rsid w:val="00CC72BA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E7B"/>
    <w:rsid w:val="00D83072"/>
    <w:rsid w:val="00D83ABC"/>
    <w:rsid w:val="00D84870"/>
    <w:rsid w:val="00D91B92"/>
    <w:rsid w:val="00D926B3"/>
    <w:rsid w:val="00D92B2B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33E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B77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2B8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BED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5F6"/>
    <w:rsid w:val="00ED3A32"/>
    <w:rsid w:val="00ED3BDE"/>
    <w:rsid w:val="00ED68FB"/>
    <w:rsid w:val="00ED783A"/>
    <w:rsid w:val="00EE0D68"/>
    <w:rsid w:val="00EE2E34"/>
    <w:rsid w:val="00EE2E91"/>
    <w:rsid w:val="00EE43A2"/>
    <w:rsid w:val="00EE46B7"/>
    <w:rsid w:val="00EE5A49"/>
    <w:rsid w:val="00EE664B"/>
    <w:rsid w:val="00EF10BA"/>
    <w:rsid w:val="00EF1738"/>
    <w:rsid w:val="00EF2B0B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75A5"/>
    <w:rsid w:val="00F6514B"/>
    <w:rsid w:val="00F6587F"/>
    <w:rsid w:val="00F67981"/>
    <w:rsid w:val="00F706CA"/>
    <w:rsid w:val="00F70F8D"/>
    <w:rsid w:val="00F71C5A"/>
    <w:rsid w:val="00F733A4"/>
    <w:rsid w:val="00F7758F"/>
    <w:rsid w:val="00F82577"/>
    <w:rsid w:val="00F82811"/>
    <w:rsid w:val="00F84153"/>
    <w:rsid w:val="00F85661"/>
    <w:rsid w:val="00F947A7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F5D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C9AD2F-175C-47FD-BD22-C774BAA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33F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3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3F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3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3FBB"/>
    <w:rPr>
      <w:b/>
      <w:bCs/>
    </w:rPr>
  </w:style>
  <w:style w:type="paragraph" w:styleId="Revision">
    <w:name w:val="Revision"/>
    <w:hidden/>
    <w:uiPriority w:val="99"/>
    <w:semiHidden/>
    <w:rsid w:val="00CC5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2378</Characters>
  <Application>Microsoft Office Word</Application>
  <DocSecurity>4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HB00506 (Committee Report (Unamended))</vt:lpstr>
    </vt:vector>
  </TitlesOfParts>
  <Company>State of Texas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24337</dc:subject>
  <dc:creator>State of Texas</dc:creator>
  <dc:description>HB 506 by Wu-(H)Juvenile Justice &amp; Family Issues</dc:description>
  <cp:lastModifiedBy>Damian Duarte</cp:lastModifiedBy>
  <cp:revision>2</cp:revision>
  <cp:lastPrinted>2003-11-26T17:21:00Z</cp:lastPrinted>
  <dcterms:created xsi:type="dcterms:W3CDTF">2023-04-21T00:22:00Z</dcterms:created>
  <dcterms:modified xsi:type="dcterms:W3CDTF">2023-04-21T00:22:00Z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23.107.1053</vt:lpwstr>
  </property>
</Properties>
</file>