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837CB" w14:paraId="5E1961F6" w14:textId="77777777" w:rsidTr="00345119">
        <w:tc>
          <w:tcPr>
            <w:tcW w:w="9576" w:type="dxa"/>
            <w:noWrap/>
          </w:tcPr>
          <w:p w14:paraId="45E0DA09" w14:textId="77777777" w:rsidR="008423E4" w:rsidRPr="0022177D" w:rsidRDefault="00737C95" w:rsidP="00CF1A05">
            <w:pPr>
              <w:pStyle w:val="Heading1"/>
            </w:pPr>
            <w:r w:rsidRPr="00631897">
              <w:t>BILL ANALYSIS</w:t>
            </w:r>
          </w:p>
        </w:tc>
      </w:tr>
    </w:tbl>
    <w:p w14:paraId="0ECFFA47" w14:textId="77777777" w:rsidR="008423E4" w:rsidRPr="0022177D" w:rsidRDefault="008423E4" w:rsidP="00CF1A05">
      <w:pPr>
        <w:jc w:val="center"/>
      </w:pPr>
    </w:p>
    <w:p w14:paraId="5BC13C73" w14:textId="77777777" w:rsidR="008423E4" w:rsidRPr="00B31F0E" w:rsidRDefault="008423E4" w:rsidP="00CF1A05"/>
    <w:p w14:paraId="1F38ECA2" w14:textId="77777777" w:rsidR="008423E4" w:rsidRPr="00742794" w:rsidRDefault="008423E4" w:rsidP="00CF1A05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837CB" w14:paraId="156025DC" w14:textId="77777777" w:rsidTr="00345119">
        <w:tc>
          <w:tcPr>
            <w:tcW w:w="9576" w:type="dxa"/>
          </w:tcPr>
          <w:p w14:paraId="65DAC90F" w14:textId="3EEFDD31" w:rsidR="008423E4" w:rsidRPr="00861995" w:rsidRDefault="00737C95" w:rsidP="00CF1A05">
            <w:pPr>
              <w:jc w:val="right"/>
            </w:pPr>
            <w:r>
              <w:t>H.B. 560</w:t>
            </w:r>
          </w:p>
        </w:tc>
      </w:tr>
      <w:tr w:rsidR="00D837CB" w14:paraId="21A6BDEF" w14:textId="77777777" w:rsidTr="00345119">
        <w:tc>
          <w:tcPr>
            <w:tcW w:w="9576" w:type="dxa"/>
          </w:tcPr>
          <w:p w14:paraId="2499217F" w14:textId="6E0FB34B" w:rsidR="008423E4" w:rsidRPr="00861995" w:rsidRDefault="00737C95" w:rsidP="00CF1A05">
            <w:pPr>
              <w:jc w:val="right"/>
            </w:pPr>
            <w:r>
              <w:t xml:space="preserve">By: </w:t>
            </w:r>
            <w:r w:rsidR="00E050B9">
              <w:t>Raymond</w:t>
            </w:r>
          </w:p>
        </w:tc>
      </w:tr>
      <w:tr w:rsidR="00D837CB" w14:paraId="3BB1C762" w14:textId="77777777" w:rsidTr="00345119">
        <w:tc>
          <w:tcPr>
            <w:tcW w:w="9576" w:type="dxa"/>
          </w:tcPr>
          <w:p w14:paraId="14D14787" w14:textId="4459684B" w:rsidR="008423E4" w:rsidRPr="00861995" w:rsidRDefault="00737C95" w:rsidP="00CF1A05">
            <w:pPr>
              <w:jc w:val="right"/>
            </w:pPr>
            <w:r>
              <w:t>Homeland Security &amp; Public Safety</w:t>
            </w:r>
          </w:p>
        </w:tc>
      </w:tr>
      <w:tr w:rsidR="00D837CB" w14:paraId="1E73ED13" w14:textId="77777777" w:rsidTr="00345119">
        <w:tc>
          <w:tcPr>
            <w:tcW w:w="9576" w:type="dxa"/>
          </w:tcPr>
          <w:p w14:paraId="2E3ABD10" w14:textId="26348847" w:rsidR="008423E4" w:rsidRDefault="00737C95" w:rsidP="00CF1A05">
            <w:pPr>
              <w:jc w:val="right"/>
            </w:pPr>
            <w:r>
              <w:t>Committee Report (Unamended)</w:t>
            </w:r>
          </w:p>
        </w:tc>
      </w:tr>
    </w:tbl>
    <w:p w14:paraId="605AB8B5" w14:textId="77777777" w:rsidR="008423E4" w:rsidRDefault="008423E4" w:rsidP="00CF1A05">
      <w:pPr>
        <w:tabs>
          <w:tab w:val="right" w:pos="9360"/>
        </w:tabs>
      </w:pPr>
    </w:p>
    <w:p w14:paraId="136CEA8C" w14:textId="77777777" w:rsidR="008423E4" w:rsidRDefault="008423E4" w:rsidP="00CF1A05"/>
    <w:p w14:paraId="546EBAD3" w14:textId="77777777" w:rsidR="008423E4" w:rsidRDefault="008423E4" w:rsidP="00CF1A05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D837CB" w14:paraId="19B4F387" w14:textId="77777777" w:rsidTr="00345119">
        <w:tc>
          <w:tcPr>
            <w:tcW w:w="9576" w:type="dxa"/>
          </w:tcPr>
          <w:p w14:paraId="370212CF" w14:textId="77777777" w:rsidR="008423E4" w:rsidRPr="00A8133F" w:rsidRDefault="00737C95" w:rsidP="00CF1A05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5986717" w14:textId="77777777" w:rsidR="008423E4" w:rsidRDefault="008423E4" w:rsidP="00CF1A05"/>
          <w:p w14:paraId="22B7B9AB" w14:textId="286660FF" w:rsidR="008423E4" w:rsidRDefault="00737C95" w:rsidP="00CF1A05">
            <w:pPr>
              <w:pStyle w:val="Header"/>
              <w:jc w:val="both"/>
            </w:pPr>
            <w:r w:rsidRPr="00834C4B">
              <w:t xml:space="preserve">Terrorists and other nefarious actors are constantly evolving their methods and tactics to attack transportation systems. Government agencies responsible for </w:t>
            </w:r>
            <w:r w:rsidR="008D1DD0">
              <w:t xml:space="preserve">the </w:t>
            </w:r>
            <w:r w:rsidRPr="00834C4B">
              <w:t xml:space="preserve">security </w:t>
            </w:r>
            <w:r>
              <w:t xml:space="preserve">of these systems </w:t>
            </w:r>
            <w:r w:rsidRPr="00834C4B">
              <w:t>must be ever</w:t>
            </w:r>
            <w:r w:rsidR="0045698A">
              <w:t xml:space="preserve"> </w:t>
            </w:r>
            <w:r w:rsidRPr="00834C4B">
              <w:t>vigilant</w:t>
            </w:r>
            <w:r w:rsidR="008D1DD0">
              <w:t>, and a</w:t>
            </w:r>
            <w:r w:rsidRPr="00834C4B">
              <w:t xml:space="preserve"> complete review of current realities, t</w:t>
            </w:r>
            <w:r w:rsidRPr="00834C4B">
              <w:t>rends, and threats would help improve security and inform the legislature and relevant agencies</w:t>
            </w:r>
            <w:r>
              <w:t xml:space="preserve"> about steps that could be taken to improve</w:t>
            </w:r>
            <w:r w:rsidR="008D1DD0">
              <w:t xml:space="preserve"> that</w:t>
            </w:r>
            <w:r>
              <w:t xml:space="preserve"> security</w:t>
            </w:r>
            <w:r w:rsidRPr="00834C4B">
              <w:t xml:space="preserve">. Communication and information sharing </w:t>
            </w:r>
            <w:r>
              <w:t xml:space="preserve">among state and local </w:t>
            </w:r>
            <w:r w:rsidR="008D1DD0">
              <w:t>transportation stakeholders</w:t>
            </w:r>
            <w:r>
              <w:t xml:space="preserve"> </w:t>
            </w:r>
            <w:r w:rsidRPr="00834C4B">
              <w:t xml:space="preserve">are paramount </w:t>
            </w:r>
            <w:r w:rsidRPr="00834C4B">
              <w:t xml:space="preserve">to ensuring the security of the transportation sector. </w:t>
            </w:r>
            <w:r w:rsidR="00337BF1">
              <w:t xml:space="preserve">Accordingly, </w:t>
            </w:r>
            <w:r w:rsidRPr="00834C4B">
              <w:t>H.B.</w:t>
            </w:r>
            <w:r w:rsidR="000356D0">
              <w:t> </w:t>
            </w:r>
            <w:r w:rsidRPr="00834C4B">
              <w:t xml:space="preserve">560 </w:t>
            </w:r>
            <w:r>
              <w:t>require</w:t>
            </w:r>
            <w:r w:rsidR="00556438">
              <w:t>s</w:t>
            </w:r>
            <w:r w:rsidRPr="00834C4B">
              <w:t xml:space="preserve"> the Intelligence and Counterterrorism Division of the Department of Public Safety to conduct an analysis of threats and engage transportation stakeholders to mitigate suc</w:t>
            </w:r>
            <w:r w:rsidRPr="00834C4B">
              <w:t xml:space="preserve">h threats. </w:t>
            </w:r>
          </w:p>
          <w:p w14:paraId="7D5AA691" w14:textId="77777777" w:rsidR="008423E4" w:rsidRPr="00E26B13" w:rsidRDefault="008423E4" w:rsidP="00CF1A05">
            <w:pPr>
              <w:rPr>
                <w:b/>
              </w:rPr>
            </w:pPr>
          </w:p>
        </w:tc>
      </w:tr>
      <w:tr w:rsidR="00D837CB" w14:paraId="39D47B94" w14:textId="77777777" w:rsidTr="00345119">
        <w:tc>
          <w:tcPr>
            <w:tcW w:w="9576" w:type="dxa"/>
          </w:tcPr>
          <w:p w14:paraId="4DEF366B" w14:textId="77777777" w:rsidR="0017725B" w:rsidRDefault="00737C95" w:rsidP="00CF1A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D077F6F" w14:textId="77777777" w:rsidR="0017725B" w:rsidRDefault="0017725B" w:rsidP="00CF1A05">
            <w:pPr>
              <w:rPr>
                <w:b/>
                <w:u w:val="single"/>
              </w:rPr>
            </w:pPr>
          </w:p>
          <w:p w14:paraId="66981E2D" w14:textId="74CA86E0" w:rsidR="007A1AFD" w:rsidRPr="007A1AFD" w:rsidRDefault="00737C95" w:rsidP="00CF1A05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</w:t>
            </w:r>
            <w:r>
              <w:t>mmunity supervision, parole, or mandatory supervision.</w:t>
            </w:r>
          </w:p>
          <w:p w14:paraId="3DDBF1B5" w14:textId="77777777" w:rsidR="0017725B" w:rsidRPr="0017725B" w:rsidRDefault="0017725B" w:rsidP="00CF1A05">
            <w:pPr>
              <w:rPr>
                <w:b/>
                <w:u w:val="single"/>
              </w:rPr>
            </w:pPr>
          </w:p>
        </w:tc>
      </w:tr>
      <w:tr w:rsidR="00D837CB" w14:paraId="7A8BC479" w14:textId="77777777" w:rsidTr="00345119">
        <w:tc>
          <w:tcPr>
            <w:tcW w:w="9576" w:type="dxa"/>
          </w:tcPr>
          <w:p w14:paraId="2795B9E7" w14:textId="77777777" w:rsidR="008423E4" w:rsidRPr="00A8133F" w:rsidRDefault="00737C95" w:rsidP="00CF1A05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609A44B" w14:textId="77777777" w:rsidR="008423E4" w:rsidRDefault="008423E4" w:rsidP="00CF1A05"/>
          <w:p w14:paraId="10E149CE" w14:textId="2DD90E79" w:rsidR="007A1AFD" w:rsidRDefault="00737C95" w:rsidP="00CF1A0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69A1AD8C" w14:textId="77777777" w:rsidR="008423E4" w:rsidRPr="00E21FDC" w:rsidRDefault="008423E4" w:rsidP="00CF1A05">
            <w:pPr>
              <w:rPr>
                <w:b/>
              </w:rPr>
            </w:pPr>
          </w:p>
        </w:tc>
      </w:tr>
      <w:tr w:rsidR="00D837CB" w14:paraId="66ED4BAE" w14:textId="77777777" w:rsidTr="00345119">
        <w:tc>
          <w:tcPr>
            <w:tcW w:w="9576" w:type="dxa"/>
          </w:tcPr>
          <w:p w14:paraId="5EFD5662" w14:textId="77777777" w:rsidR="008423E4" w:rsidRPr="00A8133F" w:rsidRDefault="00737C95" w:rsidP="00CF1A05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7E7D454" w14:textId="77777777" w:rsidR="008423E4" w:rsidRDefault="008423E4" w:rsidP="00CF1A05"/>
          <w:p w14:paraId="53C9757A" w14:textId="7B09E58F" w:rsidR="009C36CD" w:rsidRDefault="00737C95" w:rsidP="00CF1A0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560 requires the </w:t>
            </w:r>
            <w:r w:rsidRPr="008D4A7D">
              <w:t xml:space="preserve">Intelligence and Counterterrorism </w:t>
            </w:r>
            <w:r w:rsidR="001F0722">
              <w:t>d</w:t>
            </w:r>
            <w:r w:rsidRPr="008D4A7D">
              <w:t>ivision of the Department of Public Safety</w:t>
            </w:r>
            <w:r>
              <w:t xml:space="preserve"> </w:t>
            </w:r>
            <w:r w:rsidR="00636AD0">
              <w:t xml:space="preserve">(DPS) </w:t>
            </w:r>
            <w:r>
              <w:t xml:space="preserve">to </w:t>
            </w:r>
            <w:r w:rsidRPr="008D4A7D">
              <w:t xml:space="preserve">conduct an analysis of emerging and potential future threats to transportation security in </w:t>
            </w:r>
            <w:r w:rsidR="008209DE">
              <w:t>Texas</w:t>
            </w:r>
            <w:r w:rsidRPr="008D4A7D">
              <w:t>. The analysis must include emerging and</w:t>
            </w:r>
            <w:r w:rsidRPr="008D4A7D">
              <w:t xml:space="preserve"> potential future threats posed by the following</w:t>
            </w:r>
            <w:r>
              <w:t>:</w:t>
            </w:r>
          </w:p>
          <w:p w14:paraId="78F6FCD3" w14:textId="77777777" w:rsidR="008D4A7D" w:rsidRDefault="00737C95" w:rsidP="00CF1A05">
            <w:pPr>
              <w:pStyle w:val="Header"/>
              <w:numPr>
                <w:ilvl w:val="0"/>
                <w:numId w:val="1"/>
              </w:numPr>
              <w:jc w:val="both"/>
            </w:pPr>
            <w:r>
              <w:t>evolving tactics by terrorist organizations that may pose a catastrophic risk to an aviation or surface transportation entity;</w:t>
            </w:r>
          </w:p>
          <w:p w14:paraId="6DCC5C61" w14:textId="46A6BBB3" w:rsidR="008D4A7D" w:rsidRDefault="00737C95" w:rsidP="00CF1A05">
            <w:pPr>
              <w:pStyle w:val="Header"/>
              <w:numPr>
                <w:ilvl w:val="0"/>
                <w:numId w:val="1"/>
              </w:numPr>
              <w:jc w:val="both"/>
            </w:pPr>
            <w:r>
              <w:t>explosive devices or attacks involving the use of explosives that may cause cat</w:t>
            </w:r>
            <w:r>
              <w:t>astrophic damage to an aviation or surface transportation system;</w:t>
            </w:r>
          </w:p>
          <w:p w14:paraId="3F5415BC" w14:textId="707242E5" w:rsidR="008D4A7D" w:rsidRDefault="00737C95" w:rsidP="00CF1A05">
            <w:pPr>
              <w:pStyle w:val="Header"/>
              <w:numPr>
                <w:ilvl w:val="0"/>
                <w:numId w:val="1"/>
              </w:numPr>
              <w:jc w:val="both"/>
            </w:pPr>
            <w:r>
              <w:t>the release of chemical or biological agents in either aviation or surface transportation systems;</w:t>
            </w:r>
          </w:p>
          <w:p w14:paraId="04188148" w14:textId="56A9391F" w:rsidR="008D4A7D" w:rsidRDefault="00737C95" w:rsidP="00CF1A05">
            <w:pPr>
              <w:pStyle w:val="Header"/>
              <w:numPr>
                <w:ilvl w:val="0"/>
                <w:numId w:val="1"/>
              </w:numPr>
              <w:jc w:val="both"/>
            </w:pPr>
            <w:r>
              <w:t>cyberthreat actors seeking to undermine confidence in transportation systems or cause servi</w:t>
            </w:r>
            <w:r>
              <w:t>ce disruptions that jeopardize transportation security;</w:t>
            </w:r>
          </w:p>
          <w:p w14:paraId="7F5F0BDF" w14:textId="7534BDC7" w:rsidR="008D4A7D" w:rsidRDefault="00737C95" w:rsidP="00CF1A05">
            <w:pPr>
              <w:pStyle w:val="Header"/>
              <w:numPr>
                <w:ilvl w:val="0"/>
                <w:numId w:val="1"/>
              </w:numPr>
              <w:jc w:val="both"/>
            </w:pPr>
            <w:r>
              <w:t>unmanned aerial systems with the capability of inflicting harm on transportation targets;</w:t>
            </w:r>
          </w:p>
          <w:p w14:paraId="3DDDD0F8" w14:textId="6417ADBF" w:rsidR="008D4A7D" w:rsidRDefault="00737C95" w:rsidP="00CF1A05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individuals or groups seeking to attack soft targets, public areas, or crowded spaces of transportation system</w:t>
            </w:r>
            <w:r>
              <w:t>s, including attacks against transportation security personnel;</w:t>
            </w:r>
          </w:p>
          <w:p w14:paraId="6FEA7975" w14:textId="5B969287" w:rsidR="008D4A7D" w:rsidRDefault="00737C95" w:rsidP="00CF1A05">
            <w:pPr>
              <w:pStyle w:val="Header"/>
              <w:numPr>
                <w:ilvl w:val="0"/>
                <w:numId w:val="1"/>
              </w:numPr>
              <w:jc w:val="both"/>
            </w:pPr>
            <w:r>
              <w:t>foreign actors seeking to exploit vulnerabilities posed by inconsistent or inadequate security screening protocols at last point of departure airports with direct flights to Texas;</w:t>
            </w:r>
          </w:p>
          <w:p w14:paraId="3CF4BC07" w14:textId="04A67BE7" w:rsidR="008D4A7D" w:rsidRDefault="00737C95" w:rsidP="00CF1A05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information</w:t>
            </w:r>
            <w:r>
              <w:t>-sharing challenges within state government and between state government and private and governmental entities; and</w:t>
            </w:r>
          </w:p>
          <w:p w14:paraId="7C64496B" w14:textId="57C2F404" w:rsidR="008D4A7D" w:rsidRDefault="00737C95" w:rsidP="00CF1A05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growth in passenger volume in both the aviation and surface transportation sectors in Texas.</w:t>
            </w:r>
          </w:p>
          <w:p w14:paraId="6D18224E" w14:textId="0F2E4ABF" w:rsidR="008D4A7D" w:rsidRDefault="00737C95" w:rsidP="00CF1A0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requires the division, in conducting t</w:t>
            </w:r>
            <w:r>
              <w:t xml:space="preserve">he analysis, to engage transportation stakeholders and account for security concerns of transportation operators by taking certain prescribed actions. The division must submit the analysis </w:t>
            </w:r>
            <w:r w:rsidR="007A1AFD">
              <w:t xml:space="preserve">to DPS and the public safety director not later than </w:t>
            </w:r>
            <w:r w:rsidR="009F5063">
              <w:t>June </w:t>
            </w:r>
            <w:r w:rsidR="007A1AFD">
              <w:t>1, 2024.</w:t>
            </w:r>
          </w:p>
          <w:p w14:paraId="7F6ACF42" w14:textId="3F9E1767" w:rsidR="007A1AFD" w:rsidRDefault="007A1AFD" w:rsidP="00CF1A0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EF4B125" w14:textId="68935CC0" w:rsidR="007A1AFD" w:rsidRDefault="00737C95" w:rsidP="00CF1A0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560 requires the director, not later than October 1, 2024, to do the following with respect to </w:t>
            </w:r>
            <w:r w:rsidR="00932227">
              <w:t xml:space="preserve">threat </w:t>
            </w:r>
            <w:r>
              <w:t>mitigation:</w:t>
            </w:r>
          </w:p>
          <w:p w14:paraId="7722960C" w14:textId="77777777" w:rsidR="007A1AFD" w:rsidRDefault="00737C95" w:rsidP="00CF1A05">
            <w:pPr>
              <w:pStyle w:val="Header"/>
              <w:numPr>
                <w:ilvl w:val="0"/>
                <w:numId w:val="2"/>
              </w:numPr>
              <w:jc w:val="both"/>
            </w:pPr>
            <w:r>
              <w:t>develop, as appropriate, a threat mitigation strategy for each of the threats examined in the analysis; and</w:t>
            </w:r>
          </w:p>
          <w:p w14:paraId="53B4800E" w14:textId="5D1020DB" w:rsidR="007A1AFD" w:rsidRDefault="00737C95" w:rsidP="00CF1A0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assign </w:t>
            </w:r>
            <w:r>
              <w:t>appropriate DPS resources to address those threats based on the calculated risk or provide recommendations to the appropriate governmental entity responsible for addressing those threats.</w:t>
            </w:r>
          </w:p>
          <w:p w14:paraId="288369CB" w14:textId="567A2304" w:rsidR="007A1AFD" w:rsidRPr="009C36CD" w:rsidRDefault="00737C95" w:rsidP="00CF1A0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requires the director, not later than December 1, 2024, to </w:t>
            </w:r>
            <w:r w:rsidRPr="007A1AFD">
              <w:t xml:space="preserve">provide a written report to each legislative standing committee with primary jurisdiction over transportation on the results of the analysis and </w:t>
            </w:r>
            <w:r>
              <w:t xml:space="preserve">any </w:t>
            </w:r>
            <w:r w:rsidRPr="007A1AFD">
              <w:t>relevant mitigation strategies</w:t>
            </w:r>
            <w:r>
              <w:t xml:space="preserve"> developed. The </w:t>
            </w:r>
            <w:r w:rsidR="00932227">
              <w:t xml:space="preserve">bill's </w:t>
            </w:r>
            <w:r>
              <w:t>provisions expire December 31, 2024.</w:t>
            </w:r>
          </w:p>
          <w:p w14:paraId="72ACB6CA" w14:textId="77777777" w:rsidR="008423E4" w:rsidRPr="00835628" w:rsidRDefault="008423E4" w:rsidP="00CF1A05">
            <w:pPr>
              <w:rPr>
                <w:b/>
              </w:rPr>
            </w:pPr>
          </w:p>
        </w:tc>
      </w:tr>
      <w:tr w:rsidR="00D837CB" w14:paraId="0AC9EFB9" w14:textId="77777777" w:rsidTr="00345119">
        <w:tc>
          <w:tcPr>
            <w:tcW w:w="9576" w:type="dxa"/>
          </w:tcPr>
          <w:p w14:paraId="387D4C6B" w14:textId="77777777" w:rsidR="008423E4" w:rsidRPr="00A8133F" w:rsidRDefault="00737C95" w:rsidP="00CF1A05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9E98887" w14:textId="77777777" w:rsidR="008423E4" w:rsidRDefault="008423E4" w:rsidP="00CF1A05"/>
          <w:p w14:paraId="4F276CD9" w14:textId="65460C5F" w:rsidR="008423E4" w:rsidRPr="003624F2" w:rsidRDefault="00737C95" w:rsidP="00CF1A0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36879773" w14:textId="77777777" w:rsidR="008423E4" w:rsidRPr="00233FDB" w:rsidRDefault="008423E4" w:rsidP="00CF1A05">
            <w:pPr>
              <w:rPr>
                <w:b/>
              </w:rPr>
            </w:pPr>
          </w:p>
        </w:tc>
      </w:tr>
    </w:tbl>
    <w:p w14:paraId="7FFE309E" w14:textId="77777777" w:rsidR="008423E4" w:rsidRPr="00BE0E75" w:rsidRDefault="008423E4" w:rsidP="00CF1A05">
      <w:pPr>
        <w:jc w:val="both"/>
        <w:rPr>
          <w:rFonts w:ascii="Arial" w:hAnsi="Arial"/>
          <w:sz w:val="16"/>
          <w:szCs w:val="16"/>
        </w:rPr>
      </w:pPr>
    </w:p>
    <w:p w14:paraId="559C283D" w14:textId="77777777" w:rsidR="004108C3" w:rsidRPr="008423E4" w:rsidRDefault="004108C3" w:rsidP="00CF1A05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E81C" w14:textId="77777777" w:rsidR="00000000" w:rsidRDefault="00737C95">
      <w:r>
        <w:separator/>
      </w:r>
    </w:p>
  </w:endnote>
  <w:endnote w:type="continuationSeparator" w:id="0">
    <w:p w14:paraId="6312BE2F" w14:textId="77777777" w:rsidR="00000000" w:rsidRDefault="0073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9B3B" w14:textId="77777777" w:rsidR="0071137A" w:rsidRDefault="00711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837CB" w14:paraId="4A13D235" w14:textId="77777777" w:rsidTr="009C1E9A">
      <w:trPr>
        <w:cantSplit/>
      </w:trPr>
      <w:tc>
        <w:tcPr>
          <w:tcW w:w="0" w:type="pct"/>
        </w:tcPr>
        <w:p w14:paraId="369AB01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7631F2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0AEF41B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2D7A0F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5466EC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837CB" w14:paraId="142F8950" w14:textId="77777777" w:rsidTr="009C1E9A">
      <w:trPr>
        <w:cantSplit/>
      </w:trPr>
      <w:tc>
        <w:tcPr>
          <w:tcW w:w="0" w:type="pct"/>
        </w:tcPr>
        <w:p w14:paraId="75740AE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FD31CFA" w14:textId="0AB221D2" w:rsidR="00EC379B" w:rsidRPr="009C1E9A" w:rsidRDefault="00737C9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20583-D</w:t>
          </w:r>
        </w:p>
      </w:tc>
      <w:tc>
        <w:tcPr>
          <w:tcW w:w="2453" w:type="pct"/>
        </w:tcPr>
        <w:p w14:paraId="610B93BC" w14:textId="7AA3F0C6" w:rsidR="00EC379B" w:rsidRDefault="00737C9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CD439E">
            <w:t>23.86.2136</w:t>
          </w:r>
          <w:r>
            <w:fldChar w:fldCharType="end"/>
          </w:r>
        </w:p>
      </w:tc>
    </w:tr>
    <w:tr w:rsidR="00D837CB" w14:paraId="36AC611F" w14:textId="77777777" w:rsidTr="009C1E9A">
      <w:trPr>
        <w:cantSplit/>
      </w:trPr>
      <w:tc>
        <w:tcPr>
          <w:tcW w:w="0" w:type="pct"/>
        </w:tcPr>
        <w:p w14:paraId="7EB378C2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62C9B3E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384C819A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A14AFE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837CB" w14:paraId="62F6B653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E16AAF2" w14:textId="77777777" w:rsidR="00EC379B" w:rsidRDefault="00737C9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6A8C0B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DBD79AD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3AAE" w14:textId="77777777" w:rsidR="0071137A" w:rsidRDefault="00711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5E72" w14:textId="77777777" w:rsidR="00000000" w:rsidRDefault="00737C95">
      <w:r>
        <w:separator/>
      </w:r>
    </w:p>
  </w:footnote>
  <w:footnote w:type="continuationSeparator" w:id="0">
    <w:p w14:paraId="1D888411" w14:textId="77777777" w:rsidR="00000000" w:rsidRDefault="00737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C58A" w14:textId="77777777" w:rsidR="0071137A" w:rsidRDefault="00711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490F" w14:textId="77777777" w:rsidR="0071137A" w:rsidRDefault="00711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6F2C" w14:textId="77777777" w:rsidR="0071137A" w:rsidRDefault="00711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2078"/>
    <w:multiLevelType w:val="hybridMultilevel"/>
    <w:tmpl w:val="BF6634E8"/>
    <w:lvl w:ilvl="0" w:tplc="87AA0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DAE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47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C5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C2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A64A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22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8F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B2CD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3594F"/>
    <w:multiLevelType w:val="hybridMultilevel"/>
    <w:tmpl w:val="C8CA7326"/>
    <w:lvl w:ilvl="0" w:tplc="AE64E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9CF7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2E5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ED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C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4D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8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C97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C8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9F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6D0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3AE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1737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0722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2BD3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37BF1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5698A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56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0E7A"/>
    <w:rsid w:val="00541B98"/>
    <w:rsid w:val="00543374"/>
    <w:rsid w:val="00545548"/>
    <w:rsid w:val="00546923"/>
    <w:rsid w:val="00551CA6"/>
    <w:rsid w:val="00555034"/>
    <w:rsid w:val="00556438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627A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6AD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515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6F52F4"/>
    <w:rsid w:val="007031BD"/>
    <w:rsid w:val="00703E80"/>
    <w:rsid w:val="00705276"/>
    <w:rsid w:val="007066A0"/>
    <w:rsid w:val="007075FB"/>
    <w:rsid w:val="0070787B"/>
    <w:rsid w:val="0071131D"/>
    <w:rsid w:val="0071137A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3FBA"/>
    <w:rsid w:val="00735B9D"/>
    <w:rsid w:val="007365A5"/>
    <w:rsid w:val="00736FB0"/>
    <w:rsid w:val="00737C95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1AFD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3B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09DE"/>
    <w:rsid w:val="00823E4C"/>
    <w:rsid w:val="00827749"/>
    <w:rsid w:val="00827B7E"/>
    <w:rsid w:val="00830EEB"/>
    <w:rsid w:val="008347A9"/>
    <w:rsid w:val="00834C4B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1DD0"/>
    <w:rsid w:val="008D27A5"/>
    <w:rsid w:val="008D2AAB"/>
    <w:rsid w:val="008D309C"/>
    <w:rsid w:val="008D4A7D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227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3AA2"/>
    <w:rsid w:val="009F4B4A"/>
    <w:rsid w:val="009F4EB0"/>
    <w:rsid w:val="009F4F2B"/>
    <w:rsid w:val="009F5063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03A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33AA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4DF1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17B91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1B7A"/>
    <w:rsid w:val="00CD37DA"/>
    <w:rsid w:val="00CD439E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1A05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67E70"/>
    <w:rsid w:val="00D700B1"/>
    <w:rsid w:val="00D730FA"/>
    <w:rsid w:val="00D76631"/>
    <w:rsid w:val="00D768B7"/>
    <w:rsid w:val="00D77492"/>
    <w:rsid w:val="00D811E8"/>
    <w:rsid w:val="00D81A44"/>
    <w:rsid w:val="00D83072"/>
    <w:rsid w:val="00D837CB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3C74"/>
    <w:rsid w:val="00E04B30"/>
    <w:rsid w:val="00E050B9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0789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864ED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7BE138-5610-4E63-A61C-A31CF1CD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D4A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D4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4A7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4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4A7D"/>
    <w:rPr>
      <w:b/>
      <w:bCs/>
    </w:rPr>
  </w:style>
  <w:style w:type="paragraph" w:styleId="Revision">
    <w:name w:val="Revision"/>
    <w:hidden/>
    <w:uiPriority w:val="99"/>
    <w:semiHidden/>
    <w:rsid w:val="008209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3387</Characters>
  <Application>Microsoft Office Word</Application>
  <DocSecurity>4</DocSecurity>
  <Lines>79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HB00560 (Committee Report (Unamended))</vt:lpstr>
    </vt:vector>
  </TitlesOfParts>
  <Company>State of Texas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20583</dc:subject>
  <dc:creator>State of Texas</dc:creator>
  <dc:description>HB 560 by Raymond-(H)Homeland Security &amp; Public Safety</dc:description>
  <cp:lastModifiedBy>Damian Duarte</cp:lastModifiedBy>
  <cp:revision>2</cp:revision>
  <cp:lastPrinted>2003-11-26T17:21:00Z</cp:lastPrinted>
  <dcterms:created xsi:type="dcterms:W3CDTF">2023-04-03T23:23:00Z</dcterms:created>
  <dcterms:modified xsi:type="dcterms:W3CDTF">2023-04-03T23:23:00Z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23.86.2136</vt:lpwstr>
  </property>
</Properties>
</file>