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F111E" w14:paraId="5A3C8894" w14:textId="77777777" w:rsidTr="00345119">
        <w:tc>
          <w:tcPr>
            <w:tcW w:w="9576" w:type="dxa"/>
            <w:noWrap/>
          </w:tcPr>
          <w:p w14:paraId="5D0D171D" w14:textId="77777777" w:rsidR="008423E4" w:rsidRPr="0022177D" w:rsidRDefault="003A312E" w:rsidP="009D4916">
            <w:pPr>
              <w:pStyle w:val="Heading1"/>
            </w:pPr>
            <w:r w:rsidRPr="00631897">
              <w:t>BILL ANALYSIS</w:t>
            </w:r>
          </w:p>
        </w:tc>
      </w:tr>
    </w:tbl>
    <w:p w14:paraId="5F5075D2" w14:textId="77777777" w:rsidR="008423E4" w:rsidRPr="0022177D" w:rsidRDefault="008423E4" w:rsidP="009D4916">
      <w:pPr>
        <w:jc w:val="center"/>
      </w:pPr>
    </w:p>
    <w:p w14:paraId="2CC4F43F" w14:textId="77777777" w:rsidR="008423E4" w:rsidRPr="00B31F0E" w:rsidRDefault="008423E4" w:rsidP="009D4916"/>
    <w:p w14:paraId="1ADAF180" w14:textId="77777777" w:rsidR="008423E4" w:rsidRPr="00742794" w:rsidRDefault="008423E4" w:rsidP="009D491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F111E" w14:paraId="3CEC9CDE" w14:textId="77777777" w:rsidTr="00345119">
        <w:tc>
          <w:tcPr>
            <w:tcW w:w="9576" w:type="dxa"/>
          </w:tcPr>
          <w:p w14:paraId="5C6F8275" w14:textId="406DE3DB" w:rsidR="008423E4" w:rsidRPr="00861995" w:rsidRDefault="003A312E" w:rsidP="009D4916">
            <w:pPr>
              <w:jc w:val="right"/>
            </w:pPr>
            <w:r>
              <w:t>H.B. 586</w:t>
            </w:r>
          </w:p>
        </w:tc>
      </w:tr>
      <w:tr w:rsidR="00DF111E" w14:paraId="3C9D2B34" w14:textId="77777777" w:rsidTr="00345119">
        <w:tc>
          <w:tcPr>
            <w:tcW w:w="9576" w:type="dxa"/>
          </w:tcPr>
          <w:p w14:paraId="5C4ACCBC" w14:textId="52CB168F" w:rsidR="008423E4" w:rsidRPr="00861995" w:rsidRDefault="003A312E" w:rsidP="009D4916">
            <w:pPr>
              <w:jc w:val="right"/>
            </w:pPr>
            <w:r>
              <w:t xml:space="preserve">By: </w:t>
            </w:r>
            <w:r w:rsidR="00AC69D5">
              <w:t>Thompson, Ed</w:t>
            </w:r>
          </w:p>
        </w:tc>
      </w:tr>
      <w:tr w:rsidR="00DF111E" w14:paraId="35CD3E20" w14:textId="77777777" w:rsidTr="00345119">
        <w:tc>
          <w:tcPr>
            <w:tcW w:w="9576" w:type="dxa"/>
          </w:tcPr>
          <w:p w14:paraId="748F3ABC" w14:textId="542D4929" w:rsidR="008423E4" w:rsidRPr="00861995" w:rsidRDefault="003A312E" w:rsidP="009D4916">
            <w:pPr>
              <w:jc w:val="right"/>
            </w:pPr>
            <w:r>
              <w:t>Land &amp; Resource Management</w:t>
            </w:r>
          </w:p>
        </w:tc>
      </w:tr>
      <w:tr w:rsidR="00DF111E" w14:paraId="1544CDAA" w14:textId="77777777" w:rsidTr="00345119">
        <w:tc>
          <w:tcPr>
            <w:tcW w:w="9576" w:type="dxa"/>
          </w:tcPr>
          <w:p w14:paraId="1DD526F9" w14:textId="685C823C" w:rsidR="008423E4" w:rsidRDefault="003A312E" w:rsidP="009D4916">
            <w:pPr>
              <w:jc w:val="right"/>
            </w:pPr>
            <w:r>
              <w:t>Committee Report (Unamended)</w:t>
            </w:r>
          </w:p>
        </w:tc>
      </w:tr>
    </w:tbl>
    <w:p w14:paraId="0B92B6DF" w14:textId="77777777" w:rsidR="008423E4" w:rsidRDefault="008423E4" w:rsidP="009D4916">
      <w:pPr>
        <w:tabs>
          <w:tab w:val="right" w:pos="9360"/>
        </w:tabs>
      </w:pPr>
    </w:p>
    <w:p w14:paraId="167E40C3" w14:textId="77777777" w:rsidR="008423E4" w:rsidRDefault="008423E4" w:rsidP="009D4916"/>
    <w:p w14:paraId="048731B7" w14:textId="77777777" w:rsidR="008423E4" w:rsidRDefault="008423E4" w:rsidP="009D491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F111E" w14:paraId="5FDC4941" w14:textId="77777777" w:rsidTr="00345119">
        <w:tc>
          <w:tcPr>
            <w:tcW w:w="9576" w:type="dxa"/>
          </w:tcPr>
          <w:p w14:paraId="518AE7C9" w14:textId="77777777" w:rsidR="008423E4" w:rsidRPr="00A8133F" w:rsidRDefault="003A312E" w:rsidP="009D491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EAED99" w14:textId="77777777" w:rsidR="008423E4" w:rsidRDefault="008423E4" w:rsidP="009D4916"/>
          <w:p w14:paraId="31985A90" w14:textId="77729E8E" w:rsidR="00AF7B16" w:rsidRDefault="003A312E" w:rsidP="009D49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F7B16">
              <w:t xml:space="preserve">In Iowa Colony, there </w:t>
            </w:r>
            <w:r>
              <w:t>are reports of</w:t>
            </w:r>
            <w:r w:rsidRPr="00AF7B16">
              <w:t xml:space="preserve"> confusion amongst emergency responders on whether local or state officials </w:t>
            </w:r>
            <w:r>
              <w:t xml:space="preserve">should be dispatched </w:t>
            </w:r>
            <w:r w:rsidRPr="00AF7B16">
              <w:t xml:space="preserve">in the event of an accident or crime along state highway 288. This results in delayed response times and threatens public safety in the area. The confusion is </w:t>
            </w:r>
            <w:r w:rsidRPr="00AF7B16">
              <w:t>due to the fact that state highway 288 weaves in</w:t>
            </w:r>
            <w:r w:rsidR="00A75008">
              <w:t xml:space="preserve"> </w:t>
            </w:r>
            <w:r w:rsidRPr="00AF7B16">
              <w:t>and</w:t>
            </w:r>
            <w:r w:rsidR="00A75008">
              <w:t xml:space="preserve"> </w:t>
            </w:r>
            <w:r w:rsidRPr="00AF7B16">
              <w:t>out of parts of the city and its extraterritorial jurisdiction (ETJ).</w:t>
            </w:r>
            <w:r>
              <w:t xml:space="preserve"> W</w:t>
            </w:r>
            <w:r w:rsidRPr="00AF7B16">
              <w:t>hen jurisdiction changes multiple times as the highway passes through the region</w:t>
            </w:r>
            <w:r>
              <w:t>, time is wasted determining which agency to contact</w:t>
            </w:r>
            <w:r>
              <w:t xml:space="preserve"> for response to an emergency situation. Under current annexation law, a municipality must receive the consent of a landowner before annexation</w:t>
            </w:r>
            <w:r w:rsidR="00D33585">
              <w:t xml:space="preserve"> of their land</w:t>
            </w:r>
            <w:r>
              <w:t xml:space="preserve"> may occur.</w:t>
            </w:r>
            <w:r w:rsidR="00D33585">
              <w:t xml:space="preserve"> Even though</w:t>
            </w:r>
            <w:r>
              <w:t xml:space="preserve"> highways and rights-of-way are technically owned by the </w:t>
            </w:r>
            <w:r w:rsidR="00D33585">
              <w:t xml:space="preserve">state, the </w:t>
            </w:r>
            <w:r w:rsidR="00D33585" w:rsidRPr="00D33585">
              <w:t>Texas Department of Transportation</w:t>
            </w:r>
            <w:r>
              <w:t xml:space="preserve"> does not have the authority to act as the landowner for annexation purposes, meaning cities have no landowner </w:t>
            </w:r>
            <w:r w:rsidR="00D33585">
              <w:t xml:space="preserve">from which to </w:t>
            </w:r>
            <w:r>
              <w:t>seek consent</w:t>
            </w:r>
            <w:r w:rsidR="00D33585">
              <w:t xml:space="preserve"> for annexation</w:t>
            </w:r>
            <w:r>
              <w:t>.</w:t>
            </w:r>
            <w:r w:rsidR="00D33585">
              <w:t xml:space="preserve"> </w:t>
            </w:r>
            <w:r>
              <w:t>H</w:t>
            </w:r>
            <w:r w:rsidR="00D33585">
              <w:t>.</w:t>
            </w:r>
            <w:r>
              <w:t>B</w:t>
            </w:r>
            <w:r w:rsidR="00D33585">
              <w:t>.</w:t>
            </w:r>
            <w:r w:rsidR="005C7596">
              <w:t> </w:t>
            </w:r>
            <w:r>
              <w:t xml:space="preserve">586 </w:t>
            </w:r>
            <w:r w:rsidR="00D33585">
              <w:t xml:space="preserve">seeks to address this issue by </w:t>
            </w:r>
            <w:r>
              <w:t>allow</w:t>
            </w:r>
            <w:r w:rsidR="00D33585">
              <w:t>ing</w:t>
            </w:r>
            <w:r>
              <w:t xml:space="preserve"> cities </w:t>
            </w:r>
            <w:r w:rsidR="00D33585">
              <w:t xml:space="preserve">limited </w:t>
            </w:r>
            <w:r w:rsidR="00E92388">
              <w:t xml:space="preserve">authority </w:t>
            </w:r>
            <w:r>
              <w:t>to</w:t>
            </w:r>
            <w:r>
              <w:t xml:space="preserve"> annex </w:t>
            </w:r>
            <w:r w:rsidR="00D33585">
              <w:t xml:space="preserve">land </w:t>
            </w:r>
            <w:r>
              <w:t xml:space="preserve">along portions of highways and rights-of-way that fall within their city limits or ETJ. </w:t>
            </w:r>
          </w:p>
          <w:p w14:paraId="5D60A665" w14:textId="77777777" w:rsidR="008423E4" w:rsidRPr="00E26B13" w:rsidRDefault="008423E4" w:rsidP="009D4916">
            <w:pPr>
              <w:rPr>
                <w:b/>
              </w:rPr>
            </w:pPr>
          </w:p>
        </w:tc>
      </w:tr>
      <w:tr w:rsidR="00DF111E" w14:paraId="44AE6380" w14:textId="77777777" w:rsidTr="00345119">
        <w:tc>
          <w:tcPr>
            <w:tcW w:w="9576" w:type="dxa"/>
          </w:tcPr>
          <w:p w14:paraId="20F33747" w14:textId="77777777" w:rsidR="0017725B" w:rsidRDefault="003A312E" w:rsidP="009D49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9C7184" w14:textId="77777777" w:rsidR="0017725B" w:rsidRDefault="0017725B" w:rsidP="009D4916">
            <w:pPr>
              <w:rPr>
                <w:b/>
                <w:u w:val="single"/>
              </w:rPr>
            </w:pPr>
          </w:p>
          <w:p w14:paraId="65BB9CCF" w14:textId="77777777" w:rsidR="009808E4" w:rsidRPr="009808E4" w:rsidRDefault="003A312E" w:rsidP="009D4916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697B9274" w14:textId="77777777" w:rsidR="0017725B" w:rsidRPr="0017725B" w:rsidRDefault="0017725B" w:rsidP="009D4916">
            <w:pPr>
              <w:rPr>
                <w:b/>
                <w:u w:val="single"/>
              </w:rPr>
            </w:pPr>
          </w:p>
        </w:tc>
      </w:tr>
      <w:tr w:rsidR="00DF111E" w14:paraId="155A7568" w14:textId="77777777" w:rsidTr="00345119">
        <w:tc>
          <w:tcPr>
            <w:tcW w:w="9576" w:type="dxa"/>
          </w:tcPr>
          <w:p w14:paraId="712C0CE6" w14:textId="77777777" w:rsidR="008423E4" w:rsidRPr="00A8133F" w:rsidRDefault="003A312E" w:rsidP="009D491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1F7C6DF" w14:textId="77777777" w:rsidR="008423E4" w:rsidRDefault="008423E4" w:rsidP="009D4916"/>
          <w:p w14:paraId="59952177" w14:textId="77777777" w:rsidR="009808E4" w:rsidRDefault="003A312E" w:rsidP="009D49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4931C4DF" w14:textId="77777777" w:rsidR="008423E4" w:rsidRPr="00E21FDC" w:rsidRDefault="008423E4" w:rsidP="009D4916">
            <w:pPr>
              <w:rPr>
                <w:b/>
              </w:rPr>
            </w:pPr>
          </w:p>
        </w:tc>
      </w:tr>
      <w:tr w:rsidR="00DF111E" w14:paraId="0EA9F4A2" w14:textId="77777777" w:rsidTr="00345119">
        <w:tc>
          <w:tcPr>
            <w:tcW w:w="9576" w:type="dxa"/>
          </w:tcPr>
          <w:p w14:paraId="4A56DAD1" w14:textId="77777777" w:rsidR="008423E4" w:rsidRPr="00A8133F" w:rsidRDefault="003A312E" w:rsidP="009D491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155B12" w14:textId="77777777" w:rsidR="008423E4" w:rsidRDefault="008423E4" w:rsidP="009D4916"/>
          <w:p w14:paraId="27345E0C" w14:textId="35C9B8A4" w:rsidR="003F2983" w:rsidRPr="003F2983" w:rsidRDefault="003A312E" w:rsidP="009D49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EF08B1">
              <w:t>586</w:t>
            </w:r>
            <w:r>
              <w:t xml:space="preserve"> amends the </w:t>
            </w:r>
            <w:r w:rsidRPr="00C9539D">
              <w:t>Local Government Code</w:t>
            </w:r>
            <w:r>
              <w:t xml:space="preserve"> to </w:t>
            </w:r>
            <w:r w:rsidR="00BE37C8">
              <w:t xml:space="preserve">authorize </w:t>
            </w:r>
            <w:r>
              <w:t>a</w:t>
            </w:r>
            <w:r w:rsidRPr="003F2983">
              <w:t xml:space="preserve"> municipality</w:t>
            </w:r>
            <w:r w:rsidR="00AA44B1">
              <w:t xml:space="preserve"> </w:t>
            </w:r>
            <w:r>
              <w:t>to</w:t>
            </w:r>
            <w:r w:rsidRPr="003F2983">
              <w:t xml:space="preserve"> annex a road right-of-way </w:t>
            </w:r>
            <w:r w:rsidR="00AA44B1">
              <w:t>by ordinance</w:t>
            </w:r>
            <w:r w:rsidR="004133EC">
              <w:t>, under annexation procedures for areas exempted from consent annexation procedures,</w:t>
            </w:r>
            <w:r w:rsidR="00AA44B1">
              <w:t xml:space="preserve"> </w:t>
            </w:r>
            <w:r w:rsidRPr="003F2983">
              <w:t>provided that the right-of-way</w:t>
            </w:r>
            <w:r w:rsidR="00BE37C8">
              <w:t xml:space="preserve"> satisfies the following conditions</w:t>
            </w:r>
            <w:r w:rsidRPr="003F2983">
              <w:t>:</w:t>
            </w:r>
          </w:p>
          <w:p w14:paraId="2D66AB08" w14:textId="3E4008C1" w:rsidR="003F2983" w:rsidRPr="003F2983" w:rsidRDefault="003A312E" w:rsidP="009D491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right-of-way</w:t>
            </w:r>
            <w:r w:rsidRPr="003F2983">
              <w:t xml:space="preserve"> is contiguous to the municipality's boundary or to an area being simultaneously annexed by the municipality;</w:t>
            </w:r>
          </w:p>
          <w:p w14:paraId="09FEBE9A" w14:textId="737C49CD" w:rsidR="00B87595" w:rsidRDefault="003A312E" w:rsidP="009D491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right-of-way </w:t>
            </w:r>
            <w:r w:rsidR="00C17473">
              <w:t>either</w:t>
            </w:r>
            <w:r>
              <w:t>:</w:t>
            </w:r>
          </w:p>
          <w:p w14:paraId="7FCAA5B5" w14:textId="041725DB" w:rsidR="00B87595" w:rsidRDefault="003A312E" w:rsidP="009D4916">
            <w:pPr>
              <w:pStyle w:val="Header"/>
              <w:numPr>
                <w:ilvl w:val="1"/>
                <w:numId w:val="1"/>
              </w:numPr>
              <w:jc w:val="both"/>
            </w:pPr>
            <w:r>
              <w:t>is</w:t>
            </w:r>
            <w:r w:rsidR="003F2983" w:rsidRPr="003F2983">
              <w:t xml:space="preserve"> parallel to the boundary of the municipality or to an area being simultaneou</w:t>
            </w:r>
            <w:r>
              <w:t>sly annexed by the municipality;</w:t>
            </w:r>
            <w:r w:rsidR="003F2983" w:rsidRPr="003F2983">
              <w:t xml:space="preserve"> or</w:t>
            </w:r>
          </w:p>
          <w:p w14:paraId="1570B92C" w14:textId="3BD466AD" w:rsidR="003F2983" w:rsidRPr="003F2983" w:rsidRDefault="003A312E" w:rsidP="009D4916">
            <w:pPr>
              <w:pStyle w:val="Header"/>
              <w:numPr>
                <w:ilvl w:val="1"/>
                <w:numId w:val="1"/>
              </w:numPr>
              <w:jc w:val="both"/>
            </w:pPr>
            <w:r w:rsidRPr="003F2983">
              <w:t>connects the boundary of the municipality to an area being simultaneously annexed by the municipality or to another point on the bound</w:t>
            </w:r>
            <w:r w:rsidRPr="003F2983">
              <w:t xml:space="preserve">ary of the </w:t>
            </w:r>
            <w:r w:rsidRPr="0076186D">
              <w:t>municipality</w:t>
            </w:r>
            <w:r w:rsidR="00363EFB" w:rsidRPr="00AE5942">
              <w:t xml:space="preserve">, </w:t>
            </w:r>
            <w:r w:rsidR="00363EFB" w:rsidRPr="00235F42">
              <w:t>with the bill specifying that in this case the annexation</w:t>
            </w:r>
            <w:r w:rsidR="00363EFB" w:rsidRPr="0076186D">
              <w:t xml:space="preserve"> of a road right-of-way does not expand the annexing municipality's extraterritorial jurisdiction</w:t>
            </w:r>
            <w:r w:rsidRPr="00235F42">
              <w:t>; and</w:t>
            </w:r>
          </w:p>
          <w:p w14:paraId="3EFA41A3" w14:textId="6D9C8D89" w:rsidR="008423E4" w:rsidRDefault="003A312E" w:rsidP="009D491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E37C8">
              <w:t>the right-of-way</w:t>
            </w:r>
            <w:r w:rsidR="003F2983" w:rsidRPr="003F2983">
              <w:t xml:space="preserve"> does not result in the municipality's boundaries surrounding any area that was not already in the municipality's extraterritorial jurisdiction immediately before the annexation of the right-of-way.</w:t>
            </w:r>
          </w:p>
          <w:p w14:paraId="29EEBE47" w14:textId="5F163E0A" w:rsidR="005608C6" w:rsidRPr="00B87595" w:rsidRDefault="003A312E" w:rsidP="009D49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87595">
              <w:t xml:space="preserve">This annexation authority is </w:t>
            </w:r>
            <w:r w:rsidR="000156A0" w:rsidRPr="00B87595">
              <w:t>in addition to a municipality's authority to annex</w:t>
            </w:r>
            <w:r w:rsidR="004133EC">
              <w:t>, under those same procedures,</w:t>
            </w:r>
            <w:r w:rsidR="000156A0" w:rsidRPr="00B87595">
              <w:t xml:space="preserve"> a road right-of</w:t>
            </w:r>
            <w:r w:rsidR="00A26827" w:rsidRPr="00B87595">
              <w:t>-</w:t>
            </w:r>
            <w:r w:rsidR="000156A0" w:rsidRPr="00B87595">
              <w:t>way on request of the owner of the right-of-way or the governing body of the political subdivision that maintains the right-of-way.</w:t>
            </w:r>
            <w:r w:rsidRPr="00B87595">
              <w:t xml:space="preserve"> </w:t>
            </w:r>
          </w:p>
          <w:p w14:paraId="27A485A6" w14:textId="77777777" w:rsidR="008A7761" w:rsidRDefault="008A7761" w:rsidP="009D4916">
            <w:pPr>
              <w:pStyle w:val="Header"/>
              <w:jc w:val="both"/>
            </w:pPr>
          </w:p>
          <w:p w14:paraId="3076C5B6" w14:textId="6899A1AD" w:rsidR="008A7761" w:rsidRDefault="003A312E" w:rsidP="009D4916">
            <w:pPr>
              <w:pStyle w:val="Header"/>
              <w:jc w:val="both"/>
            </w:pPr>
            <w:r>
              <w:t>H.B</w:t>
            </w:r>
            <w:r w:rsidR="003E43B2">
              <w:t>.</w:t>
            </w:r>
            <w:r>
              <w:t xml:space="preserve"> </w:t>
            </w:r>
            <w:r w:rsidR="00EF08B1">
              <w:t>586</w:t>
            </w:r>
            <w:r w:rsidR="00725829">
              <w:t xml:space="preserve"> requires the following to be satisfied in order for</w:t>
            </w:r>
            <w:r>
              <w:t xml:space="preserve"> a municipality to annex a right</w:t>
            </w:r>
            <w:r w:rsidR="00A26827" w:rsidRPr="00B87595">
              <w:t>-</w:t>
            </w:r>
            <w:r>
              <w:t>of</w:t>
            </w:r>
            <w:r w:rsidR="00A26827" w:rsidRPr="00B87595">
              <w:t>-</w:t>
            </w:r>
            <w:r>
              <w:t>way</w:t>
            </w:r>
            <w:r w:rsidR="00403F18">
              <w:t xml:space="preserve"> under applicable road rights-of-way annexation provisions </w:t>
            </w:r>
            <w:r w:rsidR="00A750DE">
              <w:t>as amended by the bill</w:t>
            </w:r>
            <w:r>
              <w:t>:</w:t>
            </w:r>
          </w:p>
          <w:p w14:paraId="239DA95C" w14:textId="5E1E0AC0" w:rsidR="008A7761" w:rsidRDefault="003A312E" w:rsidP="009D491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owne</w:t>
            </w:r>
            <w:r>
              <w:t>r of the right-of-way or the governing body of the political subdivision that maintains the right-of-way requests the annexation of the right-of-way in writing; or</w:t>
            </w:r>
          </w:p>
          <w:p w14:paraId="5AA1AE3A" w14:textId="12FB8C9E" w:rsidR="008A7761" w:rsidRDefault="003A312E" w:rsidP="009D491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both of the following conditions are satisfied:</w:t>
            </w:r>
          </w:p>
          <w:p w14:paraId="7FA3DCC2" w14:textId="574E3A2D" w:rsidR="008A7761" w:rsidRDefault="003A312E" w:rsidP="009D4916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the municipality provides written notice of </w:t>
            </w:r>
            <w:r>
              <w:t>the annexation to the owner of the right-of-way or the governing body of the political subdivision that maintains the right-of-way not later than the 61st day before the date of the proposed annexation; and</w:t>
            </w:r>
          </w:p>
          <w:p w14:paraId="588E0374" w14:textId="521750E7" w:rsidR="008A7761" w:rsidRDefault="003A312E" w:rsidP="009D4916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owner or the governing body does not </w:t>
            </w:r>
            <w:r>
              <w:t>submit a written objection to the municipality before the date of the proposed annexation.</w:t>
            </w:r>
          </w:p>
          <w:p w14:paraId="2FD280FE" w14:textId="3B865F39" w:rsidR="00D50B47" w:rsidRPr="00F27837" w:rsidRDefault="003A312E" w:rsidP="009D4916">
            <w:pPr>
              <w:pStyle w:val="Header"/>
              <w:jc w:val="both"/>
            </w:pPr>
            <w:r w:rsidRPr="004F534F">
              <w:t xml:space="preserve">The bill authorizes a </w:t>
            </w:r>
            <w:r w:rsidRPr="00F27837">
              <w:t>governmental body</w:t>
            </w:r>
            <w:r w:rsidRPr="004F534F">
              <w:t xml:space="preserve"> that owns or maintains a </w:t>
            </w:r>
            <w:r w:rsidRPr="00F27837">
              <w:t>right-of-way proposed to be annexed to specify, by notifying the municipality in writing, the locati</w:t>
            </w:r>
            <w:r w:rsidRPr="00F27837">
              <w:t xml:space="preserve">on at which </w:t>
            </w:r>
            <w:r w:rsidR="00F27837" w:rsidRPr="004F534F">
              <w:t>the</w:t>
            </w:r>
            <w:r w:rsidRPr="00F27837">
              <w:t xml:space="preserve"> municipality must deliver</w:t>
            </w:r>
            <w:r w:rsidRPr="004F534F">
              <w:t xml:space="preserve"> the</w:t>
            </w:r>
            <w:r w:rsidR="00C17473">
              <w:t xml:space="preserve"> </w:t>
            </w:r>
            <w:r w:rsidR="00675D91">
              <w:t>written</w:t>
            </w:r>
            <w:r w:rsidRPr="00F27837">
              <w:t xml:space="preserve"> notice</w:t>
            </w:r>
            <w:r w:rsidR="005608C6">
              <w:t xml:space="preserve"> of the annexation</w:t>
            </w:r>
            <w:r w:rsidRPr="00F27837">
              <w:t>.</w:t>
            </w:r>
          </w:p>
          <w:p w14:paraId="39AB4FAA" w14:textId="1AE2506E" w:rsidR="00D50B47" w:rsidRPr="004F534F" w:rsidRDefault="00D50B47" w:rsidP="009D4916">
            <w:pPr>
              <w:pStyle w:val="Header"/>
              <w:jc w:val="both"/>
            </w:pPr>
          </w:p>
          <w:p w14:paraId="77344E92" w14:textId="2FA7E11D" w:rsidR="00F27837" w:rsidRDefault="003A312E" w:rsidP="009D4916">
            <w:pPr>
              <w:pStyle w:val="Header"/>
              <w:jc w:val="both"/>
              <w:rPr>
                <w:highlight w:val="yellow"/>
              </w:rPr>
            </w:pPr>
            <w:r w:rsidRPr="004F534F">
              <w:t xml:space="preserve">H.B. </w:t>
            </w:r>
            <w:r w:rsidR="00EF08B1">
              <w:t>586</w:t>
            </w:r>
            <w:r w:rsidRPr="004F534F">
              <w:t xml:space="preserve"> exempts </w:t>
            </w:r>
            <w:r w:rsidRPr="00F27837">
              <w:t xml:space="preserve">the </w:t>
            </w:r>
            <w:r w:rsidR="00C17473">
              <w:t xml:space="preserve">municipal </w:t>
            </w:r>
            <w:r w:rsidRPr="00F27837">
              <w:t xml:space="preserve">annexation of a right-of-way </w:t>
            </w:r>
            <w:r w:rsidR="00B87595">
              <w:t xml:space="preserve">under statutory provisions as amended by the bill </w:t>
            </w:r>
            <w:r w:rsidRPr="00F27837">
              <w:t xml:space="preserve">from a statutory </w:t>
            </w:r>
            <w:r w:rsidR="00E30121">
              <w:t xml:space="preserve">minimum annexation </w:t>
            </w:r>
            <w:r w:rsidRPr="00F27837">
              <w:t xml:space="preserve">width </w:t>
            </w:r>
            <w:r w:rsidRPr="00F27837">
              <w:t>requirement.</w:t>
            </w:r>
          </w:p>
          <w:p w14:paraId="3D29FBB4" w14:textId="2D6E6299" w:rsidR="00D50B47" w:rsidRPr="00835628" w:rsidRDefault="00D50B47" w:rsidP="009D491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F111E" w14:paraId="71AC7E6B" w14:textId="77777777" w:rsidTr="00345119">
        <w:tc>
          <w:tcPr>
            <w:tcW w:w="9576" w:type="dxa"/>
          </w:tcPr>
          <w:p w14:paraId="291AAA8B" w14:textId="77777777" w:rsidR="008423E4" w:rsidRPr="00A8133F" w:rsidRDefault="003A312E" w:rsidP="009D491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F0D591B" w14:textId="77777777" w:rsidR="008423E4" w:rsidRDefault="008423E4" w:rsidP="009D4916"/>
          <w:p w14:paraId="3E204D01" w14:textId="5673E27C" w:rsidR="008423E4" w:rsidRPr="003624F2" w:rsidRDefault="003A312E" w:rsidP="009D49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76186D">
              <w:t>3</w:t>
            </w:r>
            <w:r>
              <w:t>.</w:t>
            </w:r>
          </w:p>
          <w:p w14:paraId="7837044A" w14:textId="77777777" w:rsidR="008423E4" w:rsidRPr="00233FDB" w:rsidRDefault="008423E4" w:rsidP="009D4916">
            <w:pPr>
              <w:rPr>
                <w:b/>
              </w:rPr>
            </w:pPr>
          </w:p>
        </w:tc>
      </w:tr>
      <w:tr w:rsidR="00DF111E" w14:paraId="636BFA1C" w14:textId="77777777" w:rsidTr="00345119">
        <w:tc>
          <w:tcPr>
            <w:tcW w:w="9576" w:type="dxa"/>
          </w:tcPr>
          <w:p w14:paraId="1A30F677" w14:textId="36954A83" w:rsidR="00416C6F" w:rsidRPr="00416C6F" w:rsidRDefault="00416C6F" w:rsidP="009D4916">
            <w:pPr>
              <w:jc w:val="both"/>
            </w:pPr>
          </w:p>
        </w:tc>
      </w:tr>
      <w:tr w:rsidR="00DF111E" w14:paraId="1657E857" w14:textId="77777777" w:rsidTr="00345119">
        <w:tc>
          <w:tcPr>
            <w:tcW w:w="9576" w:type="dxa"/>
          </w:tcPr>
          <w:p w14:paraId="2AD707ED" w14:textId="77777777" w:rsidR="00AD5D51" w:rsidRPr="009C1E9A" w:rsidRDefault="00AD5D51" w:rsidP="009D4916">
            <w:pPr>
              <w:rPr>
                <w:b/>
                <w:u w:val="single"/>
              </w:rPr>
            </w:pPr>
          </w:p>
        </w:tc>
      </w:tr>
      <w:tr w:rsidR="00DF111E" w14:paraId="5F8AF1B5" w14:textId="77777777" w:rsidTr="00345119">
        <w:tc>
          <w:tcPr>
            <w:tcW w:w="9576" w:type="dxa"/>
          </w:tcPr>
          <w:p w14:paraId="33B5C673" w14:textId="77777777" w:rsidR="00AD5D51" w:rsidRPr="00AD5D51" w:rsidRDefault="00AD5D51" w:rsidP="009D4916">
            <w:pPr>
              <w:jc w:val="both"/>
            </w:pPr>
          </w:p>
        </w:tc>
      </w:tr>
    </w:tbl>
    <w:p w14:paraId="017AD2AD" w14:textId="77777777" w:rsidR="008423E4" w:rsidRPr="00BE0E75" w:rsidRDefault="008423E4" w:rsidP="009D4916">
      <w:pPr>
        <w:jc w:val="both"/>
        <w:rPr>
          <w:rFonts w:ascii="Arial" w:hAnsi="Arial"/>
          <w:sz w:val="16"/>
          <w:szCs w:val="16"/>
        </w:rPr>
      </w:pPr>
    </w:p>
    <w:p w14:paraId="5FF0D771" w14:textId="77777777" w:rsidR="004108C3" w:rsidRPr="008423E4" w:rsidRDefault="004108C3" w:rsidP="009D491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2EC7" w14:textId="77777777" w:rsidR="00000000" w:rsidRDefault="003A312E">
      <w:r>
        <w:separator/>
      </w:r>
    </w:p>
  </w:endnote>
  <w:endnote w:type="continuationSeparator" w:id="0">
    <w:p w14:paraId="5B7E252D" w14:textId="77777777" w:rsidR="00000000" w:rsidRDefault="003A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D7A0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F111E" w14:paraId="5AB267ED" w14:textId="77777777" w:rsidTr="009C1E9A">
      <w:trPr>
        <w:cantSplit/>
      </w:trPr>
      <w:tc>
        <w:tcPr>
          <w:tcW w:w="0" w:type="pct"/>
        </w:tcPr>
        <w:p w14:paraId="44F148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775F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9A799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AB64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47F5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111E" w14:paraId="618B54EA" w14:textId="77777777" w:rsidTr="009C1E9A">
      <w:trPr>
        <w:cantSplit/>
      </w:trPr>
      <w:tc>
        <w:tcPr>
          <w:tcW w:w="0" w:type="pct"/>
        </w:tcPr>
        <w:p w14:paraId="0949DF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09EA30" w14:textId="3FFD178E" w:rsidR="00EC379B" w:rsidRPr="009C1E9A" w:rsidRDefault="003A312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22371-D</w:t>
          </w:r>
        </w:p>
      </w:tc>
      <w:tc>
        <w:tcPr>
          <w:tcW w:w="2453" w:type="pct"/>
        </w:tcPr>
        <w:p w14:paraId="016A2EA0" w14:textId="03399B5C" w:rsidR="00EC379B" w:rsidRDefault="003A312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C7596">
            <w:t>23.96.833</w:t>
          </w:r>
          <w:r>
            <w:fldChar w:fldCharType="end"/>
          </w:r>
        </w:p>
      </w:tc>
    </w:tr>
    <w:tr w:rsidR="00DF111E" w14:paraId="5F88F7EF" w14:textId="77777777" w:rsidTr="009C1E9A">
      <w:trPr>
        <w:cantSplit/>
      </w:trPr>
      <w:tc>
        <w:tcPr>
          <w:tcW w:w="0" w:type="pct"/>
        </w:tcPr>
        <w:p w14:paraId="394575F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8CB6BAF" w14:textId="1E6AFEE4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EEE21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D63FA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111E" w14:paraId="118F3F8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9C7B78" w14:textId="4B26173B" w:rsidR="00EC379B" w:rsidRDefault="003A312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0520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223976C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8532E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6AD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FA83" w14:textId="77777777" w:rsidR="00000000" w:rsidRDefault="003A312E">
      <w:r>
        <w:separator/>
      </w:r>
    </w:p>
  </w:footnote>
  <w:footnote w:type="continuationSeparator" w:id="0">
    <w:p w14:paraId="423EDF57" w14:textId="77777777" w:rsidR="00000000" w:rsidRDefault="003A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26A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BB8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F92A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0CB9"/>
    <w:multiLevelType w:val="hybridMultilevel"/>
    <w:tmpl w:val="970A0908"/>
    <w:lvl w:ilvl="0" w:tplc="39E21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CC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C4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24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8F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C3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8F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21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CB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C4829"/>
    <w:multiLevelType w:val="hybridMultilevel"/>
    <w:tmpl w:val="899CCB78"/>
    <w:lvl w:ilvl="0" w:tplc="7F3EFF82">
      <w:start w:val="1"/>
      <w:numFmt w:val="decimal"/>
      <w:lvlText w:val="(%1)"/>
      <w:lvlJc w:val="left"/>
      <w:pPr>
        <w:ind w:left="788" w:hanging="428"/>
      </w:pPr>
      <w:rPr>
        <w:rFonts w:hint="default"/>
      </w:rPr>
    </w:lvl>
    <w:lvl w:ilvl="1" w:tplc="CD3ABD2A" w:tentative="1">
      <w:start w:val="1"/>
      <w:numFmt w:val="lowerLetter"/>
      <w:lvlText w:val="%2."/>
      <w:lvlJc w:val="left"/>
      <w:pPr>
        <w:ind w:left="1440" w:hanging="360"/>
      </w:pPr>
    </w:lvl>
    <w:lvl w:ilvl="2" w:tplc="8028E74C" w:tentative="1">
      <w:start w:val="1"/>
      <w:numFmt w:val="lowerRoman"/>
      <w:lvlText w:val="%3."/>
      <w:lvlJc w:val="right"/>
      <w:pPr>
        <w:ind w:left="2160" w:hanging="180"/>
      </w:pPr>
    </w:lvl>
    <w:lvl w:ilvl="3" w:tplc="0878588A" w:tentative="1">
      <w:start w:val="1"/>
      <w:numFmt w:val="decimal"/>
      <w:lvlText w:val="%4."/>
      <w:lvlJc w:val="left"/>
      <w:pPr>
        <w:ind w:left="2880" w:hanging="360"/>
      </w:pPr>
    </w:lvl>
    <w:lvl w:ilvl="4" w:tplc="35765B9E" w:tentative="1">
      <w:start w:val="1"/>
      <w:numFmt w:val="lowerLetter"/>
      <w:lvlText w:val="%5."/>
      <w:lvlJc w:val="left"/>
      <w:pPr>
        <w:ind w:left="3600" w:hanging="360"/>
      </w:pPr>
    </w:lvl>
    <w:lvl w:ilvl="5" w:tplc="1424EE3A" w:tentative="1">
      <w:start w:val="1"/>
      <w:numFmt w:val="lowerRoman"/>
      <w:lvlText w:val="%6."/>
      <w:lvlJc w:val="right"/>
      <w:pPr>
        <w:ind w:left="4320" w:hanging="180"/>
      </w:pPr>
    </w:lvl>
    <w:lvl w:ilvl="6" w:tplc="D146FF32" w:tentative="1">
      <w:start w:val="1"/>
      <w:numFmt w:val="decimal"/>
      <w:lvlText w:val="%7."/>
      <w:lvlJc w:val="left"/>
      <w:pPr>
        <w:ind w:left="5040" w:hanging="360"/>
      </w:pPr>
    </w:lvl>
    <w:lvl w:ilvl="7" w:tplc="D16EEA32" w:tentative="1">
      <w:start w:val="1"/>
      <w:numFmt w:val="lowerLetter"/>
      <w:lvlText w:val="%8."/>
      <w:lvlJc w:val="left"/>
      <w:pPr>
        <w:ind w:left="5760" w:hanging="360"/>
      </w:pPr>
    </w:lvl>
    <w:lvl w:ilvl="8" w:tplc="0F381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FB4"/>
    <w:multiLevelType w:val="hybridMultilevel"/>
    <w:tmpl w:val="DE32DCD6"/>
    <w:lvl w:ilvl="0" w:tplc="BFB2C0F2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98AA31EE">
      <w:start w:val="1"/>
      <w:numFmt w:val="upperLetter"/>
      <w:lvlText w:val="(%2)"/>
      <w:lvlJc w:val="left"/>
      <w:pPr>
        <w:ind w:left="1590" w:hanging="510"/>
      </w:pPr>
      <w:rPr>
        <w:rFonts w:hint="default"/>
      </w:rPr>
    </w:lvl>
    <w:lvl w:ilvl="2" w:tplc="CB58ADB6" w:tentative="1">
      <w:start w:val="1"/>
      <w:numFmt w:val="lowerRoman"/>
      <w:lvlText w:val="%3."/>
      <w:lvlJc w:val="right"/>
      <w:pPr>
        <w:ind w:left="2160" w:hanging="180"/>
      </w:pPr>
    </w:lvl>
    <w:lvl w:ilvl="3" w:tplc="D5502008" w:tentative="1">
      <w:start w:val="1"/>
      <w:numFmt w:val="decimal"/>
      <w:lvlText w:val="%4."/>
      <w:lvlJc w:val="left"/>
      <w:pPr>
        <w:ind w:left="2880" w:hanging="360"/>
      </w:pPr>
    </w:lvl>
    <w:lvl w:ilvl="4" w:tplc="2966A86E" w:tentative="1">
      <w:start w:val="1"/>
      <w:numFmt w:val="lowerLetter"/>
      <w:lvlText w:val="%5."/>
      <w:lvlJc w:val="left"/>
      <w:pPr>
        <w:ind w:left="3600" w:hanging="360"/>
      </w:pPr>
    </w:lvl>
    <w:lvl w:ilvl="5" w:tplc="1812B5BC" w:tentative="1">
      <w:start w:val="1"/>
      <w:numFmt w:val="lowerRoman"/>
      <w:lvlText w:val="%6."/>
      <w:lvlJc w:val="right"/>
      <w:pPr>
        <w:ind w:left="4320" w:hanging="180"/>
      </w:pPr>
    </w:lvl>
    <w:lvl w:ilvl="6" w:tplc="78AE0836" w:tentative="1">
      <w:start w:val="1"/>
      <w:numFmt w:val="decimal"/>
      <w:lvlText w:val="%7."/>
      <w:lvlJc w:val="left"/>
      <w:pPr>
        <w:ind w:left="5040" w:hanging="360"/>
      </w:pPr>
    </w:lvl>
    <w:lvl w:ilvl="7" w:tplc="543E4D28" w:tentative="1">
      <w:start w:val="1"/>
      <w:numFmt w:val="lowerLetter"/>
      <w:lvlText w:val="%8."/>
      <w:lvlJc w:val="left"/>
      <w:pPr>
        <w:ind w:left="5760" w:hanging="360"/>
      </w:pPr>
    </w:lvl>
    <w:lvl w:ilvl="8" w:tplc="7218A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E478D"/>
    <w:multiLevelType w:val="hybridMultilevel"/>
    <w:tmpl w:val="6C78CC42"/>
    <w:lvl w:ilvl="0" w:tplc="CFB62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28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A5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CD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47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A5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C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67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4A9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F5341"/>
    <w:multiLevelType w:val="hybridMultilevel"/>
    <w:tmpl w:val="729A0080"/>
    <w:lvl w:ilvl="0" w:tplc="96C4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68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A9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2E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44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4B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C9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2F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2C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89880">
    <w:abstractNumId w:val="3"/>
  </w:num>
  <w:num w:numId="2" w16cid:durableId="2143958046">
    <w:abstractNumId w:val="1"/>
  </w:num>
  <w:num w:numId="3" w16cid:durableId="965549412">
    <w:abstractNumId w:val="0"/>
  </w:num>
  <w:num w:numId="4" w16cid:durableId="246965319">
    <w:abstractNumId w:val="2"/>
  </w:num>
  <w:num w:numId="5" w16cid:durableId="1008021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8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6A0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5976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2B27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62A"/>
    <w:rsid w:val="0015331F"/>
    <w:rsid w:val="00156355"/>
    <w:rsid w:val="00156AB2"/>
    <w:rsid w:val="00160402"/>
    <w:rsid w:val="00160571"/>
    <w:rsid w:val="00161A15"/>
    <w:rsid w:val="00161E93"/>
    <w:rsid w:val="00162C7A"/>
    <w:rsid w:val="00162DAE"/>
    <w:rsid w:val="001639C5"/>
    <w:rsid w:val="00163E45"/>
    <w:rsid w:val="001664C2"/>
    <w:rsid w:val="00171BF2"/>
    <w:rsid w:val="00172259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584"/>
    <w:rsid w:val="001B26D8"/>
    <w:rsid w:val="001B3BFA"/>
    <w:rsid w:val="001B75B8"/>
    <w:rsid w:val="001C1230"/>
    <w:rsid w:val="001C3734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5DB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59E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5F42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64B"/>
    <w:rsid w:val="002874E3"/>
    <w:rsid w:val="00287656"/>
    <w:rsid w:val="00291518"/>
    <w:rsid w:val="00296FF0"/>
    <w:rsid w:val="002A17C0"/>
    <w:rsid w:val="002A48DF"/>
    <w:rsid w:val="002A5146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3A3"/>
    <w:rsid w:val="002E21B8"/>
    <w:rsid w:val="002E37FC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9EE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3EFB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12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DCE"/>
    <w:rsid w:val="003D726D"/>
    <w:rsid w:val="003E0875"/>
    <w:rsid w:val="003E0BB8"/>
    <w:rsid w:val="003E43B2"/>
    <w:rsid w:val="003E6CB0"/>
    <w:rsid w:val="003F1F5E"/>
    <w:rsid w:val="003F286A"/>
    <w:rsid w:val="003F2983"/>
    <w:rsid w:val="003F77F8"/>
    <w:rsid w:val="00400ACD"/>
    <w:rsid w:val="00403B15"/>
    <w:rsid w:val="00403E8A"/>
    <w:rsid w:val="00403F18"/>
    <w:rsid w:val="004101E4"/>
    <w:rsid w:val="00410661"/>
    <w:rsid w:val="004108C3"/>
    <w:rsid w:val="00410B33"/>
    <w:rsid w:val="004120CC"/>
    <w:rsid w:val="00412ED2"/>
    <w:rsid w:val="00412F0F"/>
    <w:rsid w:val="004133EC"/>
    <w:rsid w:val="004134CE"/>
    <w:rsid w:val="004136A8"/>
    <w:rsid w:val="00415139"/>
    <w:rsid w:val="004166BB"/>
    <w:rsid w:val="00416C6F"/>
    <w:rsid w:val="004174CD"/>
    <w:rsid w:val="004241AA"/>
    <w:rsid w:val="0042422E"/>
    <w:rsid w:val="0043190E"/>
    <w:rsid w:val="004324E9"/>
    <w:rsid w:val="004350F3"/>
    <w:rsid w:val="00436980"/>
    <w:rsid w:val="00440B5B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34F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852"/>
    <w:rsid w:val="00545548"/>
    <w:rsid w:val="00546923"/>
    <w:rsid w:val="00551CA6"/>
    <w:rsid w:val="00555034"/>
    <w:rsid w:val="005570D2"/>
    <w:rsid w:val="00560865"/>
    <w:rsid w:val="005608C6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4B4"/>
    <w:rsid w:val="005847EF"/>
    <w:rsid w:val="005851E6"/>
    <w:rsid w:val="005878B7"/>
    <w:rsid w:val="00592607"/>
    <w:rsid w:val="00592C9A"/>
    <w:rsid w:val="00593DF8"/>
    <w:rsid w:val="00595745"/>
    <w:rsid w:val="005A0E18"/>
    <w:rsid w:val="005A12A5"/>
    <w:rsid w:val="005A3790"/>
    <w:rsid w:val="005A3A32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596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4E6F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76"/>
    <w:rsid w:val="006249CB"/>
    <w:rsid w:val="006272DD"/>
    <w:rsid w:val="00630963"/>
    <w:rsid w:val="00630F90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8C3"/>
    <w:rsid w:val="00662B77"/>
    <w:rsid w:val="00662D0E"/>
    <w:rsid w:val="00663265"/>
    <w:rsid w:val="0066345F"/>
    <w:rsid w:val="0066485B"/>
    <w:rsid w:val="0067036E"/>
    <w:rsid w:val="00671693"/>
    <w:rsid w:val="00673DD9"/>
    <w:rsid w:val="006757AA"/>
    <w:rsid w:val="00675D91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77D"/>
    <w:rsid w:val="006C4709"/>
    <w:rsid w:val="006C62DA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82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86D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996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472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2DD1"/>
    <w:rsid w:val="008930D7"/>
    <w:rsid w:val="008947A7"/>
    <w:rsid w:val="00897E80"/>
    <w:rsid w:val="008A04FA"/>
    <w:rsid w:val="008A3188"/>
    <w:rsid w:val="008A3FDF"/>
    <w:rsid w:val="008A6418"/>
    <w:rsid w:val="008A7761"/>
    <w:rsid w:val="008B05D8"/>
    <w:rsid w:val="008B0B3D"/>
    <w:rsid w:val="008B2B1A"/>
    <w:rsid w:val="008B3428"/>
    <w:rsid w:val="008B4E6D"/>
    <w:rsid w:val="008B7785"/>
    <w:rsid w:val="008C0809"/>
    <w:rsid w:val="008C0D6A"/>
    <w:rsid w:val="008C132C"/>
    <w:rsid w:val="008C3FD0"/>
    <w:rsid w:val="008D27A5"/>
    <w:rsid w:val="008D2AAB"/>
    <w:rsid w:val="008D309C"/>
    <w:rsid w:val="008D58F9"/>
    <w:rsid w:val="008E2F4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8E4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916"/>
    <w:rsid w:val="009D4BBD"/>
    <w:rsid w:val="009D5A41"/>
    <w:rsid w:val="009E13BF"/>
    <w:rsid w:val="009E3631"/>
    <w:rsid w:val="009E3EB9"/>
    <w:rsid w:val="009E426C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FAC"/>
    <w:rsid w:val="00A1446F"/>
    <w:rsid w:val="00A151B5"/>
    <w:rsid w:val="00A220FF"/>
    <w:rsid w:val="00A227E0"/>
    <w:rsid w:val="00A232E4"/>
    <w:rsid w:val="00A24AAD"/>
    <w:rsid w:val="00A26827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4D0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5008"/>
    <w:rsid w:val="00A750DE"/>
    <w:rsid w:val="00A803CF"/>
    <w:rsid w:val="00A8133F"/>
    <w:rsid w:val="00A82CB4"/>
    <w:rsid w:val="00A837A8"/>
    <w:rsid w:val="00A83C36"/>
    <w:rsid w:val="00A864F8"/>
    <w:rsid w:val="00A87A2B"/>
    <w:rsid w:val="00A87EA8"/>
    <w:rsid w:val="00A932BB"/>
    <w:rsid w:val="00A93579"/>
    <w:rsid w:val="00A93934"/>
    <w:rsid w:val="00A95D51"/>
    <w:rsid w:val="00AA18AE"/>
    <w:rsid w:val="00AA228B"/>
    <w:rsid w:val="00AA44B1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9D5"/>
    <w:rsid w:val="00AD304B"/>
    <w:rsid w:val="00AD3526"/>
    <w:rsid w:val="00AD4497"/>
    <w:rsid w:val="00AD5D51"/>
    <w:rsid w:val="00AD7780"/>
    <w:rsid w:val="00AE2263"/>
    <w:rsid w:val="00AE248E"/>
    <w:rsid w:val="00AE2D12"/>
    <w:rsid w:val="00AE2F06"/>
    <w:rsid w:val="00AE4F1C"/>
    <w:rsid w:val="00AE5942"/>
    <w:rsid w:val="00AE6280"/>
    <w:rsid w:val="00AF1433"/>
    <w:rsid w:val="00AF48B4"/>
    <w:rsid w:val="00AF4923"/>
    <w:rsid w:val="00AF7B16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E6E"/>
    <w:rsid w:val="00B3768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8C9"/>
    <w:rsid w:val="00B72F37"/>
    <w:rsid w:val="00B73BB4"/>
    <w:rsid w:val="00B80532"/>
    <w:rsid w:val="00B82039"/>
    <w:rsid w:val="00B82454"/>
    <w:rsid w:val="00B85D13"/>
    <w:rsid w:val="00B87595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7C8"/>
    <w:rsid w:val="00BE3E30"/>
    <w:rsid w:val="00BE5274"/>
    <w:rsid w:val="00BE5A71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473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39D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0E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585"/>
    <w:rsid w:val="00D35728"/>
    <w:rsid w:val="00D37BCF"/>
    <w:rsid w:val="00D40F93"/>
    <w:rsid w:val="00D42277"/>
    <w:rsid w:val="00D43C59"/>
    <w:rsid w:val="00D44ADE"/>
    <w:rsid w:val="00D50B4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281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841"/>
    <w:rsid w:val="00DA1EFA"/>
    <w:rsid w:val="00DA25E7"/>
    <w:rsid w:val="00DA3687"/>
    <w:rsid w:val="00DA3846"/>
    <w:rsid w:val="00DA39F2"/>
    <w:rsid w:val="00DA564B"/>
    <w:rsid w:val="00DA6A5C"/>
    <w:rsid w:val="00DA74F3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111E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20E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121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5AD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388"/>
    <w:rsid w:val="00E9241E"/>
    <w:rsid w:val="00E93DEF"/>
    <w:rsid w:val="00E947B1"/>
    <w:rsid w:val="00E96833"/>
    <w:rsid w:val="00E96852"/>
    <w:rsid w:val="00EA16AC"/>
    <w:rsid w:val="00EA2912"/>
    <w:rsid w:val="00EA385A"/>
    <w:rsid w:val="00EA3931"/>
    <w:rsid w:val="00EA658E"/>
    <w:rsid w:val="00EA7A88"/>
    <w:rsid w:val="00EB27F2"/>
    <w:rsid w:val="00EB3928"/>
    <w:rsid w:val="00EB5373"/>
    <w:rsid w:val="00EC02A2"/>
    <w:rsid w:val="00EC30FF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B22"/>
    <w:rsid w:val="00EE2E34"/>
    <w:rsid w:val="00EE2E91"/>
    <w:rsid w:val="00EE43A2"/>
    <w:rsid w:val="00EE46B7"/>
    <w:rsid w:val="00EE5A49"/>
    <w:rsid w:val="00EE664B"/>
    <w:rsid w:val="00EF08B1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0DE"/>
    <w:rsid w:val="00F036C3"/>
    <w:rsid w:val="00F0417E"/>
    <w:rsid w:val="00F05397"/>
    <w:rsid w:val="00F0638C"/>
    <w:rsid w:val="00F063C7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27837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9C9DC9-CE11-49C5-8702-0BA8E582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80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0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08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0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08E4"/>
    <w:rPr>
      <w:b/>
      <w:bCs/>
    </w:rPr>
  </w:style>
  <w:style w:type="character" w:styleId="Hyperlink">
    <w:name w:val="Hyperlink"/>
    <w:basedOn w:val="DefaultParagraphFont"/>
    <w:unhideWhenUsed/>
    <w:rsid w:val="003F29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B2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B3768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A291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3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3724</Characters>
  <Application>Microsoft Office Word</Application>
  <DocSecurity>4</DocSecurity>
  <Lines>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HB00586 (Committee Report (Unamended))</vt:lpstr>
    </vt:vector>
  </TitlesOfParts>
  <Company>State of Texas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22371</dc:subject>
  <dc:creator>State of Texas</dc:creator>
  <dc:description>HB 586 by Thompson, Ed-(H)Land &amp; Resource Management</dc:description>
  <cp:lastModifiedBy>Stacey Nicchio</cp:lastModifiedBy>
  <cp:revision>2</cp:revision>
  <cp:lastPrinted>2003-11-26T17:21:00Z</cp:lastPrinted>
  <dcterms:created xsi:type="dcterms:W3CDTF">2023-04-12T16:12:00Z</dcterms:created>
  <dcterms:modified xsi:type="dcterms:W3CDTF">2023-04-12T16:12:00Z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23.96.833</vt:lpwstr>
  </property>
</Properties>
</file>