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972D1" w14:paraId="01755957" w14:textId="77777777" w:rsidTr="00345119">
        <w:tc>
          <w:tcPr>
            <w:tcW w:w="9576" w:type="dxa"/>
            <w:noWrap/>
          </w:tcPr>
          <w:p w14:paraId="07206953" w14:textId="77777777" w:rsidR="008423E4" w:rsidRPr="0022177D" w:rsidRDefault="00B94DC1" w:rsidP="00ED2C0B">
            <w:pPr>
              <w:pStyle w:val="Heading1"/>
            </w:pPr>
            <w:r w:rsidRPr="00631897">
              <w:t>BILL ANALYSIS</w:t>
            </w:r>
          </w:p>
        </w:tc>
      </w:tr>
    </w:tbl>
    <w:p w14:paraId="0DF11D53" w14:textId="77777777" w:rsidR="008423E4" w:rsidRPr="0022177D" w:rsidRDefault="008423E4" w:rsidP="00ED2C0B">
      <w:pPr>
        <w:jc w:val="center"/>
      </w:pPr>
    </w:p>
    <w:p w14:paraId="75FEADE6" w14:textId="77777777" w:rsidR="008423E4" w:rsidRPr="00B31F0E" w:rsidRDefault="008423E4" w:rsidP="00ED2C0B"/>
    <w:p w14:paraId="46625777" w14:textId="77777777" w:rsidR="008423E4" w:rsidRPr="00742794" w:rsidRDefault="008423E4" w:rsidP="00ED2C0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972D1" w14:paraId="47058437" w14:textId="77777777" w:rsidTr="00345119">
        <w:tc>
          <w:tcPr>
            <w:tcW w:w="9576" w:type="dxa"/>
          </w:tcPr>
          <w:p w14:paraId="45C238B0" w14:textId="69A9CD5E" w:rsidR="008423E4" w:rsidRPr="00861995" w:rsidRDefault="00B94DC1" w:rsidP="00ED2C0B">
            <w:pPr>
              <w:jc w:val="right"/>
            </w:pPr>
            <w:r>
              <w:t>H.B. 618</w:t>
            </w:r>
          </w:p>
        </w:tc>
      </w:tr>
      <w:tr w:rsidR="00A972D1" w14:paraId="64840EE8" w14:textId="77777777" w:rsidTr="00345119">
        <w:tc>
          <w:tcPr>
            <w:tcW w:w="9576" w:type="dxa"/>
          </w:tcPr>
          <w:p w14:paraId="39AE0860" w14:textId="0D6EBE01" w:rsidR="008423E4" w:rsidRPr="00861995" w:rsidRDefault="00B94DC1" w:rsidP="00ED2C0B">
            <w:pPr>
              <w:jc w:val="right"/>
            </w:pPr>
            <w:r>
              <w:t xml:space="preserve">By: </w:t>
            </w:r>
            <w:r w:rsidR="007659C2">
              <w:t>Darby</w:t>
            </w:r>
          </w:p>
        </w:tc>
      </w:tr>
      <w:tr w:rsidR="00A972D1" w14:paraId="6E2F1D5F" w14:textId="77777777" w:rsidTr="00345119">
        <w:tc>
          <w:tcPr>
            <w:tcW w:w="9576" w:type="dxa"/>
          </w:tcPr>
          <w:p w14:paraId="393CD7C9" w14:textId="07346BC1" w:rsidR="008423E4" w:rsidRPr="00861995" w:rsidRDefault="00B94DC1" w:rsidP="00ED2C0B">
            <w:pPr>
              <w:jc w:val="right"/>
            </w:pPr>
            <w:r>
              <w:t>Energy Resources</w:t>
            </w:r>
          </w:p>
        </w:tc>
      </w:tr>
      <w:tr w:rsidR="00A972D1" w14:paraId="6C8718CC" w14:textId="77777777" w:rsidTr="00345119">
        <w:tc>
          <w:tcPr>
            <w:tcW w:w="9576" w:type="dxa"/>
          </w:tcPr>
          <w:p w14:paraId="2086C02C" w14:textId="16895943" w:rsidR="008423E4" w:rsidRDefault="00B94DC1" w:rsidP="00ED2C0B">
            <w:pPr>
              <w:jc w:val="right"/>
            </w:pPr>
            <w:r>
              <w:t>Committee Report (Unamended)</w:t>
            </w:r>
          </w:p>
        </w:tc>
      </w:tr>
    </w:tbl>
    <w:p w14:paraId="15CF2886" w14:textId="77777777" w:rsidR="008423E4" w:rsidRDefault="008423E4" w:rsidP="00ED2C0B">
      <w:pPr>
        <w:tabs>
          <w:tab w:val="right" w:pos="9360"/>
        </w:tabs>
      </w:pPr>
    </w:p>
    <w:p w14:paraId="47524B0F" w14:textId="77777777" w:rsidR="008423E4" w:rsidRDefault="008423E4" w:rsidP="00ED2C0B"/>
    <w:p w14:paraId="3B1668FF" w14:textId="77777777" w:rsidR="008423E4" w:rsidRDefault="008423E4" w:rsidP="00ED2C0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972D1" w14:paraId="574251A6" w14:textId="77777777" w:rsidTr="00345119">
        <w:tc>
          <w:tcPr>
            <w:tcW w:w="9576" w:type="dxa"/>
          </w:tcPr>
          <w:p w14:paraId="65C6E3B7" w14:textId="77777777" w:rsidR="008423E4" w:rsidRPr="00A8133F" w:rsidRDefault="00B94DC1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A1ABE99" w14:textId="77777777" w:rsidR="008423E4" w:rsidRDefault="008423E4" w:rsidP="00ED2C0B"/>
          <w:p w14:paraId="67C9735D" w14:textId="77B3C1C1" w:rsidR="00DD6872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2015, </w:t>
            </w:r>
            <w:r w:rsidR="007F1D17">
              <w:t xml:space="preserve">the Texas legislature passed </w:t>
            </w:r>
            <w:r>
              <w:t>H.B. 1331</w:t>
            </w:r>
            <w:r w:rsidR="007F1D17">
              <w:t>,</w:t>
            </w:r>
            <w:r>
              <w:t xml:space="preserve"> which</w:t>
            </w:r>
            <w:r w:rsidRPr="00DD6872">
              <w:t xml:space="preserve"> provided a tort liability shield for oil and gas operators who transfer their waste drill cuttings to a person who holds a recycling permit with the contractual understanding that the drill cuttings </w:t>
            </w:r>
            <w:r>
              <w:t xml:space="preserve">will </w:t>
            </w:r>
            <w:r w:rsidRPr="00DD6872">
              <w:t>be recycled for road building or another beneficial</w:t>
            </w:r>
            <w:r w:rsidRPr="00DD6872">
              <w:t xml:space="preserve"> use. Under current law and current markets</w:t>
            </w:r>
            <w:r>
              <w:t>,</w:t>
            </w:r>
            <w:r w:rsidRPr="00DD6872">
              <w:t xml:space="preserve"> </w:t>
            </w:r>
            <w:r>
              <w:t xml:space="preserve">however, </w:t>
            </w:r>
            <w:r w:rsidRPr="00DD6872">
              <w:t>the extent to which the tort liability shield is applicable is questionable</w:t>
            </w:r>
            <w:r w:rsidR="007F1D17">
              <w:t>,</w:t>
            </w:r>
            <w:r w:rsidRPr="00DD6872">
              <w:t xml:space="preserve"> and clarification is needed</w:t>
            </w:r>
            <w:r>
              <w:t xml:space="preserve"> with regard to the ancillary </w:t>
            </w:r>
            <w:r w:rsidRPr="00DD6872">
              <w:t xml:space="preserve">disposal </w:t>
            </w:r>
            <w:r>
              <w:t xml:space="preserve">of the transferred drill cuttings. </w:t>
            </w:r>
            <w:r w:rsidRPr="007A030F">
              <w:t>Because some disposal is</w:t>
            </w:r>
            <w:r w:rsidRPr="007A030F">
              <w:t xml:space="preserve"> always necessary even when recycling is achieved, </w:t>
            </w:r>
            <w:r>
              <w:t>t</w:t>
            </w:r>
            <w:r w:rsidRPr="00DD6872">
              <w:t xml:space="preserve">he intent of </w:t>
            </w:r>
            <w:r>
              <w:t>the original legislation</w:t>
            </w:r>
            <w:r w:rsidRPr="00DD6872">
              <w:t xml:space="preserve"> was to have the tort liability shield apply when operators transfer </w:t>
            </w:r>
            <w:r>
              <w:t xml:space="preserve">drill </w:t>
            </w:r>
            <w:r w:rsidRPr="00DD6872">
              <w:t>cuttings and waste for commercial recycling or disposal.</w:t>
            </w:r>
            <w:r>
              <w:t xml:space="preserve"> </w:t>
            </w:r>
            <w:r w:rsidRPr="00DD6872">
              <w:t xml:space="preserve">H.B. </w:t>
            </w:r>
            <w:r>
              <w:t>618 seeks to address this issu</w:t>
            </w:r>
            <w:r>
              <w:t>e by revising the applicable tort liability shield provisions.</w:t>
            </w:r>
          </w:p>
          <w:p w14:paraId="3F73C466" w14:textId="77777777" w:rsidR="008423E4" w:rsidRPr="00E26B13" w:rsidRDefault="008423E4" w:rsidP="00ED2C0B">
            <w:pPr>
              <w:rPr>
                <w:b/>
              </w:rPr>
            </w:pPr>
          </w:p>
        </w:tc>
      </w:tr>
      <w:tr w:rsidR="00A972D1" w14:paraId="464C074D" w14:textId="77777777" w:rsidTr="00345119">
        <w:tc>
          <w:tcPr>
            <w:tcW w:w="9576" w:type="dxa"/>
          </w:tcPr>
          <w:p w14:paraId="264329EB" w14:textId="77777777" w:rsidR="0017725B" w:rsidRDefault="00B94DC1" w:rsidP="00ED2C0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ABE353" w14:textId="77777777" w:rsidR="0017725B" w:rsidRDefault="0017725B" w:rsidP="00ED2C0B">
            <w:pPr>
              <w:rPr>
                <w:b/>
                <w:u w:val="single"/>
              </w:rPr>
            </w:pPr>
          </w:p>
          <w:p w14:paraId="523CE7E1" w14:textId="77777777" w:rsidR="00A66814" w:rsidRPr="00A66814" w:rsidRDefault="00B94DC1" w:rsidP="00ED2C0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</w:t>
            </w:r>
            <w:r>
              <w:t>enses, or change the eligibility of a person for community supervision, parole, or mandatory supervision.</w:t>
            </w:r>
          </w:p>
          <w:p w14:paraId="05987EFB" w14:textId="77777777" w:rsidR="0017725B" w:rsidRPr="0017725B" w:rsidRDefault="0017725B" w:rsidP="00ED2C0B">
            <w:pPr>
              <w:rPr>
                <w:b/>
                <w:u w:val="single"/>
              </w:rPr>
            </w:pPr>
          </w:p>
        </w:tc>
      </w:tr>
      <w:tr w:rsidR="00A972D1" w14:paraId="286B77A5" w14:textId="77777777" w:rsidTr="00345119">
        <w:tc>
          <w:tcPr>
            <w:tcW w:w="9576" w:type="dxa"/>
          </w:tcPr>
          <w:p w14:paraId="6DC0DD93" w14:textId="77777777" w:rsidR="008423E4" w:rsidRPr="00A8133F" w:rsidRDefault="00B94DC1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0150FB" w14:textId="77777777" w:rsidR="008423E4" w:rsidRDefault="008423E4" w:rsidP="00ED2C0B"/>
          <w:p w14:paraId="1C8C7B56" w14:textId="77777777" w:rsidR="00A66814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14:paraId="54645707" w14:textId="77777777" w:rsidR="008423E4" w:rsidRPr="00E21FDC" w:rsidRDefault="008423E4" w:rsidP="00ED2C0B">
            <w:pPr>
              <w:rPr>
                <w:b/>
              </w:rPr>
            </w:pPr>
          </w:p>
        </w:tc>
      </w:tr>
      <w:tr w:rsidR="00A972D1" w14:paraId="4A94BAE5" w14:textId="77777777" w:rsidTr="00345119">
        <w:tc>
          <w:tcPr>
            <w:tcW w:w="9576" w:type="dxa"/>
          </w:tcPr>
          <w:p w14:paraId="3DD9AF16" w14:textId="77777777" w:rsidR="008423E4" w:rsidRPr="00A8133F" w:rsidRDefault="00B94DC1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1EB708" w14:textId="77777777" w:rsidR="008423E4" w:rsidRDefault="008423E4" w:rsidP="00ED2C0B"/>
          <w:p w14:paraId="5CC8ED65" w14:textId="04F3F612" w:rsidR="00487D93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D4CCD">
              <w:t>618</w:t>
            </w:r>
            <w:r>
              <w:t xml:space="preserve"> amends the </w:t>
            </w:r>
            <w:r w:rsidRPr="00D87383">
              <w:t>Natural Resources Code</w:t>
            </w:r>
            <w:r>
              <w:t xml:space="preserve"> to </w:t>
            </w:r>
            <w:r w:rsidR="00F955C9">
              <w:t>remove a provision that exempts a</w:t>
            </w:r>
            <w:r w:rsidR="00F955C9" w:rsidRPr="00F955C9">
              <w:t xml:space="preserve"> person who generates drill cuttings and transfers the drill cuttings to a permit holder with the contractual understanding that the drill cuttings will be used in connection with road building or another beneficial use </w:t>
            </w:r>
            <w:r w:rsidR="00F955C9">
              <w:t>from</w:t>
            </w:r>
            <w:r w:rsidR="00F955C9" w:rsidRPr="00F955C9">
              <w:t xml:space="preserve"> liab</w:t>
            </w:r>
            <w:r w:rsidR="00F955C9">
              <w:t>i</w:t>
            </w:r>
            <w:r w:rsidR="00F955C9" w:rsidRPr="00F955C9">
              <w:t>l</w:t>
            </w:r>
            <w:r w:rsidR="00F955C9">
              <w:t>ity</w:t>
            </w:r>
            <w:r w:rsidR="00F955C9" w:rsidRPr="00F955C9">
              <w:t xml:space="preserve"> in tort for a consequence of the subsequent use of the drill cuttings by the permit holder or by another person.</w:t>
            </w:r>
            <w:r>
              <w:t xml:space="preserve"> The bill replaces that provision with a provision that, u</w:t>
            </w:r>
            <w:r w:rsidRPr="00487D93">
              <w:t>nless otherwise provided by a contract or other written agreement,</w:t>
            </w:r>
            <w:r>
              <w:t xml:space="preserve"> exempts a person who generates drill cuttings a</w:t>
            </w:r>
            <w:r>
              <w:t>nd transfers the drill cuttings in an arm's length transaction to an unaffiliated third-party permit holder under a contract that requires that the drill cuttings be used in connection with road building or another beneficial use or disposed of from liabil</w:t>
            </w:r>
            <w:r>
              <w:t>ity in tort for a consequence of the subsequent use or disposal of the drill cuttings by the permit holder or by another person under the following conditions:</w:t>
            </w:r>
          </w:p>
          <w:p w14:paraId="1FE1CEE8" w14:textId="3A4845D5" w:rsidR="00487D93" w:rsidRDefault="00B94DC1" w:rsidP="00ED2C0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person who generates the drill cuttings has the legal and contractual right to transfer the </w:t>
            </w:r>
            <w:r>
              <w:t>drill cuttings to the permit holder;</w:t>
            </w:r>
          </w:p>
          <w:p w14:paraId="7A6C6F5D" w14:textId="05688DD0" w:rsidR="00487D93" w:rsidRDefault="00B94DC1" w:rsidP="00ED2C0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method and location of the use or disposal are not prohibited by law, contract, or other written agreement; and</w:t>
            </w:r>
          </w:p>
          <w:p w14:paraId="717E2EE7" w14:textId="17150EFA" w:rsidR="00487D93" w:rsidRDefault="00B94DC1" w:rsidP="00ED2C0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consequence was caused solely by the permit holder.</w:t>
            </w:r>
          </w:p>
          <w:p w14:paraId="31D2346D" w14:textId="77777777" w:rsidR="00F955C9" w:rsidRDefault="00F955C9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C609828" w14:textId="43891866" w:rsidR="009C36CD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87D93">
              <w:t xml:space="preserve">H.B. </w:t>
            </w:r>
            <w:r w:rsidR="00FD4CCD">
              <w:t>618</w:t>
            </w:r>
            <w:r w:rsidRPr="00487D93">
              <w:t xml:space="preserve"> </w:t>
            </w:r>
            <w:r w:rsidR="004900F2">
              <w:t xml:space="preserve">includes as a permit holder for purposes of provisions relating to the </w:t>
            </w:r>
            <w:r w:rsidR="004900F2" w:rsidRPr="004900F2">
              <w:t>treatment and recycling for beneficial use of drill cuttings</w:t>
            </w:r>
            <w:r w:rsidR="004900F2">
              <w:t xml:space="preserve"> </w:t>
            </w:r>
            <w:r w:rsidR="004900F2" w:rsidRPr="004900F2">
              <w:t xml:space="preserve">a person who holds a permit from the Railroad Commission of Texas to operate </w:t>
            </w:r>
            <w:r w:rsidR="00D409AA">
              <w:t>a commercial</w:t>
            </w:r>
            <w:r w:rsidR="004900F2" w:rsidRPr="004900F2">
              <w:t xml:space="preserve"> oil and gas waste disposal facility</w:t>
            </w:r>
            <w:r w:rsidR="00911131">
              <w:t>. The bill</w:t>
            </w:r>
            <w:r w:rsidR="004900F2">
              <w:t xml:space="preserve"> includes as drill cuttings </w:t>
            </w:r>
            <w:r w:rsidR="004900F2" w:rsidRPr="004900F2">
              <w:t>any</w:t>
            </w:r>
            <w:r w:rsidR="004900F2">
              <w:t xml:space="preserve"> </w:t>
            </w:r>
            <w:r w:rsidR="004900F2" w:rsidRPr="004900F2">
              <w:t>associated sand, silt, drilling fluid, spent completion fluid, workover fluid, debris, water, brine, oil scum, paraffin, or other material cleaned out of the wellbore</w:t>
            </w:r>
            <w:r w:rsidR="004900F2">
              <w:t>.</w:t>
            </w:r>
          </w:p>
          <w:p w14:paraId="2E7A7B35" w14:textId="2BD56843" w:rsidR="00AD7B96" w:rsidRDefault="00AD7B96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50D9B2C" w14:textId="03618AF4" w:rsidR="00AD7B96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618 </w:t>
            </w:r>
            <w:r w:rsidRPr="00AD249F">
              <w:t>applies only to a cause of action that accrues on or after the</w:t>
            </w:r>
            <w:r>
              <w:t xml:space="preserve"> bill's</w:t>
            </w:r>
            <w:r w:rsidRPr="00AD249F">
              <w:t xml:space="preserve"> ef</w:t>
            </w:r>
            <w:r w:rsidRPr="00AD249F">
              <w:t>fective date.</w:t>
            </w:r>
          </w:p>
          <w:p w14:paraId="10B9FFBD" w14:textId="77777777" w:rsidR="008423E4" w:rsidRPr="00835628" w:rsidRDefault="008423E4" w:rsidP="00ED2C0B">
            <w:pPr>
              <w:rPr>
                <w:b/>
              </w:rPr>
            </w:pPr>
          </w:p>
        </w:tc>
      </w:tr>
      <w:tr w:rsidR="00A972D1" w14:paraId="74A82F3B" w14:textId="77777777" w:rsidTr="00345119">
        <w:tc>
          <w:tcPr>
            <w:tcW w:w="9576" w:type="dxa"/>
          </w:tcPr>
          <w:p w14:paraId="46D2B6BD" w14:textId="77777777" w:rsidR="008423E4" w:rsidRPr="00A8133F" w:rsidRDefault="00B94DC1" w:rsidP="00ED2C0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B93872" w14:textId="77777777" w:rsidR="008423E4" w:rsidRDefault="008423E4" w:rsidP="00ED2C0B"/>
          <w:p w14:paraId="08B72158" w14:textId="7D79EA53" w:rsidR="008423E4" w:rsidRPr="003624F2" w:rsidRDefault="00B94DC1" w:rsidP="00ED2C0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</w:t>
            </w:r>
            <w:r w:rsidR="00FD4CCD">
              <w:t>3</w:t>
            </w:r>
            <w:r>
              <w:t>.</w:t>
            </w:r>
          </w:p>
          <w:p w14:paraId="7486DBB9" w14:textId="77777777" w:rsidR="008423E4" w:rsidRPr="00233FDB" w:rsidRDefault="008423E4" w:rsidP="00ED2C0B">
            <w:pPr>
              <w:rPr>
                <w:b/>
              </w:rPr>
            </w:pPr>
          </w:p>
        </w:tc>
      </w:tr>
      <w:tr w:rsidR="00A972D1" w14:paraId="3398AC9D" w14:textId="77777777" w:rsidTr="00345119">
        <w:tc>
          <w:tcPr>
            <w:tcW w:w="9576" w:type="dxa"/>
          </w:tcPr>
          <w:p w14:paraId="779894FD" w14:textId="404A0627" w:rsidR="00905F36" w:rsidRPr="00905F36" w:rsidRDefault="00905F36" w:rsidP="00ED2C0B">
            <w:pPr>
              <w:jc w:val="both"/>
            </w:pPr>
          </w:p>
        </w:tc>
      </w:tr>
      <w:tr w:rsidR="00A972D1" w14:paraId="55FA6570" w14:textId="77777777" w:rsidTr="00345119">
        <w:tc>
          <w:tcPr>
            <w:tcW w:w="9576" w:type="dxa"/>
          </w:tcPr>
          <w:p w14:paraId="233F6215" w14:textId="77777777" w:rsidR="00BB427B" w:rsidRDefault="00BB427B" w:rsidP="00ED2C0B">
            <w:pPr>
              <w:rPr>
                <w:b/>
                <w:u w:val="single"/>
              </w:rPr>
            </w:pPr>
          </w:p>
          <w:p w14:paraId="14C49E52" w14:textId="5C0ABE9D" w:rsidR="008712DC" w:rsidRPr="009C1E9A" w:rsidRDefault="008712DC" w:rsidP="00ED2C0B">
            <w:pPr>
              <w:rPr>
                <w:b/>
                <w:u w:val="single"/>
              </w:rPr>
            </w:pPr>
          </w:p>
        </w:tc>
      </w:tr>
      <w:tr w:rsidR="00A972D1" w14:paraId="65443A07" w14:textId="77777777" w:rsidTr="00345119">
        <w:tc>
          <w:tcPr>
            <w:tcW w:w="9576" w:type="dxa"/>
          </w:tcPr>
          <w:p w14:paraId="7A3F30E8" w14:textId="77777777" w:rsidR="00BB427B" w:rsidRPr="00BB427B" w:rsidRDefault="00BB427B" w:rsidP="00ED2C0B">
            <w:pPr>
              <w:jc w:val="both"/>
            </w:pPr>
          </w:p>
        </w:tc>
      </w:tr>
    </w:tbl>
    <w:p w14:paraId="0259D101" w14:textId="77777777" w:rsidR="004108C3" w:rsidRPr="008423E4" w:rsidRDefault="004108C3" w:rsidP="00ED2C0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64D3" w14:textId="77777777" w:rsidR="00000000" w:rsidRDefault="00B94DC1">
      <w:r>
        <w:separator/>
      </w:r>
    </w:p>
  </w:endnote>
  <w:endnote w:type="continuationSeparator" w:id="0">
    <w:p w14:paraId="27917AFC" w14:textId="77777777" w:rsidR="00000000" w:rsidRDefault="00B9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F3C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972D1" w14:paraId="40594142" w14:textId="77777777" w:rsidTr="009C1E9A">
      <w:trPr>
        <w:cantSplit/>
      </w:trPr>
      <w:tc>
        <w:tcPr>
          <w:tcW w:w="0" w:type="pct"/>
        </w:tcPr>
        <w:p w14:paraId="3CFC78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A38D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89027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302D4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B45D0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72D1" w14:paraId="54E33FF3" w14:textId="77777777" w:rsidTr="009C1E9A">
      <w:trPr>
        <w:cantSplit/>
      </w:trPr>
      <w:tc>
        <w:tcPr>
          <w:tcW w:w="0" w:type="pct"/>
        </w:tcPr>
        <w:p w14:paraId="3B2957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C03DBCE" w14:textId="094D1976" w:rsidR="00EC379B" w:rsidRPr="009C1E9A" w:rsidRDefault="00B94D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22891-D</w:t>
          </w:r>
        </w:p>
      </w:tc>
      <w:tc>
        <w:tcPr>
          <w:tcW w:w="2453" w:type="pct"/>
        </w:tcPr>
        <w:p w14:paraId="7B144D37" w14:textId="2C7AF79D" w:rsidR="00EC379B" w:rsidRDefault="00B94D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310C8">
            <w:t>23.101.655</w:t>
          </w:r>
          <w:r>
            <w:fldChar w:fldCharType="end"/>
          </w:r>
        </w:p>
      </w:tc>
    </w:tr>
    <w:tr w:rsidR="00A972D1" w14:paraId="57EB2392" w14:textId="77777777" w:rsidTr="009C1E9A">
      <w:trPr>
        <w:cantSplit/>
      </w:trPr>
      <w:tc>
        <w:tcPr>
          <w:tcW w:w="0" w:type="pct"/>
        </w:tcPr>
        <w:p w14:paraId="2D19289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37F8FC" w14:textId="3F44E6C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357AF3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5EAB3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972D1" w14:paraId="0A4C276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2C06DE7" w14:textId="069CA992" w:rsidR="00EC379B" w:rsidRDefault="00B94D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913F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453D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690821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69E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E579" w14:textId="77777777" w:rsidR="00000000" w:rsidRDefault="00B94DC1">
      <w:r>
        <w:separator/>
      </w:r>
    </w:p>
  </w:footnote>
  <w:footnote w:type="continuationSeparator" w:id="0">
    <w:p w14:paraId="0166FC75" w14:textId="77777777" w:rsidR="00000000" w:rsidRDefault="00B9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65C6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07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147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56E"/>
    <w:multiLevelType w:val="hybridMultilevel"/>
    <w:tmpl w:val="189EC640"/>
    <w:lvl w:ilvl="0" w:tplc="4522B3F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3D461E1A" w:tentative="1">
      <w:start w:val="1"/>
      <w:numFmt w:val="lowerLetter"/>
      <w:lvlText w:val="%2."/>
      <w:lvlJc w:val="left"/>
      <w:pPr>
        <w:ind w:left="1440" w:hanging="360"/>
      </w:pPr>
    </w:lvl>
    <w:lvl w:ilvl="2" w:tplc="21528FA2" w:tentative="1">
      <w:start w:val="1"/>
      <w:numFmt w:val="lowerRoman"/>
      <w:lvlText w:val="%3."/>
      <w:lvlJc w:val="right"/>
      <w:pPr>
        <w:ind w:left="2160" w:hanging="180"/>
      </w:pPr>
    </w:lvl>
    <w:lvl w:ilvl="3" w:tplc="D514E6EE" w:tentative="1">
      <w:start w:val="1"/>
      <w:numFmt w:val="decimal"/>
      <w:lvlText w:val="%4."/>
      <w:lvlJc w:val="left"/>
      <w:pPr>
        <w:ind w:left="2880" w:hanging="360"/>
      </w:pPr>
    </w:lvl>
    <w:lvl w:ilvl="4" w:tplc="BC96711E" w:tentative="1">
      <w:start w:val="1"/>
      <w:numFmt w:val="lowerLetter"/>
      <w:lvlText w:val="%5."/>
      <w:lvlJc w:val="left"/>
      <w:pPr>
        <w:ind w:left="3600" w:hanging="360"/>
      </w:pPr>
    </w:lvl>
    <w:lvl w:ilvl="5" w:tplc="F9BC684E" w:tentative="1">
      <w:start w:val="1"/>
      <w:numFmt w:val="lowerRoman"/>
      <w:lvlText w:val="%6."/>
      <w:lvlJc w:val="right"/>
      <w:pPr>
        <w:ind w:left="4320" w:hanging="180"/>
      </w:pPr>
    </w:lvl>
    <w:lvl w:ilvl="6" w:tplc="D310B822" w:tentative="1">
      <w:start w:val="1"/>
      <w:numFmt w:val="decimal"/>
      <w:lvlText w:val="%7."/>
      <w:lvlJc w:val="left"/>
      <w:pPr>
        <w:ind w:left="5040" w:hanging="360"/>
      </w:pPr>
    </w:lvl>
    <w:lvl w:ilvl="7" w:tplc="9A482F84" w:tentative="1">
      <w:start w:val="1"/>
      <w:numFmt w:val="lowerLetter"/>
      <w:lvlText w:val="%8."/>
      <w:lvlJc w:val="left"/>
      <w:pPr>
        <w:ind w:left="5760" w:hanging="360"/>
      </w:pPr>
    </w:lvl>
    <w:lvl w:ilvl="8" w:tplc="2E12D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D30"/>
    <w:multiLevelType w:val="hybridMultilevel"/>
    <w:tmpl w:val="FF340A4A"/>
    <w:lvl w:ilvl="0" w:tplc="442E0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A5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4A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EE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7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A3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5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0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EE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189D"/>
    <w:multiLevelType w:val="hybridMultilevel"/>
    <w:tmpl w:val="D79E597C"/>
    <w:lvl w:ilvl="0" w:tplc="C678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D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CF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2B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F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4E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63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89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80326">
    <w:abstractNumId w:val="2"/>
  </w:num>
  <w:num w:numId="2" w16cid:durableId="755052742">
    <w:abstractNumId w:val="0"/>
  </w:num>
  <w:num w:numId="3" w16cid:durableId="130909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83"/>
    <w:rsid w:val="00000A70"/>
    <w:rsid w:val="000032B8"/>
    <w:rsid w:val="00003B06"/>
    <w:rsid w:val="000054B9"/>
    <w:rsid w:val="00007461"/>
    <w:rsid w:val="00010C15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5B7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227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3EA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700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448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2EF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977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9A0"/>
    <w:rsid w:val="0031741B"/>
    <w:rsid w:val="00321337"/>
    <w:rsid w:val="00321F2F"/>
    <w:rsid w:val="003237F6"/>
    <w:rsid w:val="00324077"/>
    <w:rsid w:val="0032453B"/>
    <w:rsid w:val="00324868"/>
    <w:rsid w:val="003305F5"/>
    <w:rsid w:val="00333398"/>
    <w:rsid w:val="00333930"/>
    <w:rsid w:val="00336BA4"/>
    <w:rsid w:val="00336C7A"/>
    <w:rsid w:val="00337392"/>
    <w:rsid w:val="00337659"/>
    <w:rsid w:val="00340CC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D4"/>
    <w:rsid w:val="003D726D"/>
    <w:rsid w:val="003E0875"/>
    <w:rsid w:val="003E0BB8"/>
    <w:rsid w:val="003E6CB0"/>
    <w:rsid w:val="003F14DC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7CD"/>
    <w:rsid w:val="00450A40"/>
    <w:rsid w:val="00451D7C"/>
    <w:rsid w:val="00452FC3"/>
    <w:rsid w:val="00455936"/>
    <w:rsid w:val="00455ACE"/>
    <w:rsid w:val="00460172"/>
    <w:rsid w:val="00461B69"/>
    <w:rsid w:val="00462B3D"/>
    <w:rsid w:val="004717C0"/>
    <w:rsid w:val="00474927"/>
    <w:rsid w:val="00475913"/>
    <w:rsid w:val="00480080"/>
    <w:rsid w:val="004824A7"/>
    <w:rsid w:val="00483AF0"/>
    <w:rsid w:val="00484167"/>
    <w:rsid w:val="00487D93"/>
    <w:rsid w:val="004900F2"/>
    <w:rsid w:val="00490A22"/>
    <w:rsid w:val="004913F8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0A3F"/>
    <w:rsid w:val="005336BD"/>
    <w:rsid w:val="00534A49"/>
    <w:rsid w:val="005363BB"/>
    <w:rsid w:val="0054078A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4EF8"/>
    <w:rsid w:val="00576714"/>
    <w:rsid w:val="0057685A"/>
    <w:rsid w:val="005847EF"/>
    <w:rsid w:val="005851E6"/>
    <w:rsid w:val="005878B7"/>
    <w:rsid w:val="0059096F"/>
    <w:rsid w:val="00592C9A"/>
    <w:rsid w:val="00593DF8"/>
    <w:rsid w:val="00595745"/>
    <w:rsid w:val="005A0E18"/>
    <w:rsid w:val="005A12A5"/>
    <w:rsid w:val="005A3790"/>
    <w:rsid w:val="005A3CCB"/>
    <w:rsid w:val="005A5E22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2E1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1CED"/>
    <w:rsid w:val="00645750"/>
    <w:rsid w:val="00650692"/>
    <w:rsid w:val="006508D3"/>
    <w:rsid w:val="00650AFA"/>
    <w:rsid w:val="006567C0"/>
    <w:rsid w:val="00662B77"/>
    <w:rsid w:val="00662D0E"/>
    <w:rsid w:val="00663265"/>
    <w:rsid w:val="0066345F"/>
    <w:rsid w:val="0066485B"/>
    <w:rsid w:val="0067036E"/>
    <w:rsid w:val="00671693"/>
    <w:rsid w:val="006757AA"/>
    <w:rsid w:val="00677FC1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9C2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30F"/>
    <w:rsid w:val="007A0989"/>
    <w:rsid w:val="007A331F"/>
    <w:rsid w:val="007A3844"/>
    <w:rsid w:val="007A4381"/>
    <w:rsid w:val="007A5466"/>
    <w:rsid w:val="007A7EC1"/>
    <w:rsid w:val="007B4FCA"/>
    <w:rsid w:val="007B6324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D17"/>
    <w:rsid w:val="007F3861"/>
    <w:rsid w:val="007F4162"/>
    <w:rsid w:val="007F5441"/>
    <w:rsid w:val="007F742E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0DE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2DC"/>
    <w:rsid w:val="00871775"/>
    <w:rsid w:val="00871AEF"/>
    <w:rsid w:val="008726E5"/>
    <w:rsid w:val="0087289E"/>
    <w:rsid w:val="00873946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17A7"/>
    <w:rsid w:val="008C3FD0"/>
    <w:rsid w:val="008D27A5"/>
    <w:rsid w:val="008D2AAB"/>
    <w:rsid w:val="008D309C"/>
    <w:rsid w:val="008D58F9"/>
    <w:rsid w:val="008E3338"/>
    <w:rsid w:val="008E3574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F36"/>
    <w:rsid w:val="00907780"/>
    <w:rsid w:val="00907EDD"/>
    <w:rsid w:val="009107AD"/>
    <w:rsid w:val="00911131"/>
    <w:rsid w:val="00915568"/>
    <w:rsid w:val="00917E0C"/>
    <w:rsid w:val="00920711"/>
    <w:rsid w:val="00921A1E"/>
    <w:rsid w:val="00924EA9"/>
    <w:rsid w:val="00925CE1"/>
    <w:rsid w:val="00925F5C"/>
    <w:rsid w:val="009270FD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0ED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094"/>
    <w:rsid w:val="00A1446F"/>
    <w:rsid w:val="00A151B5"/>
    <w:rsid w:val="00A220FF"/>
    <w:rsid w:val="00A227E0"/>
    <w:rsid w:val="00A232E4"/>
    <w:rsid w:val="00A24AAD"/>
    <w:rsid w:val="00A26A8A"/>
    <w:rsid w:val="00A27255"/>
    <w:rsid w:val="00A300C3"/>
    <w:rsid w:val="00A32304"/>
    <w:rsid w:val="00A3420E"/>
    <w:rsid w:val="00A35D66"/>
    <w:rsid w:val="00A3794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583"/>
    <w:rsid w:val="00A6344D"/>
    <w:rsid w:val="00A644B8"/>
    <w:rsid w:val="00A64AF8"/>
    <w:rsid w:val="00A6681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2D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CEA"/>
    <w:rsid w:val="00AD249F"/>
    <w:rsid w:val="00AD304B"/>
    <w:rsid w:val="00AD4497"/>
    <w:rsid w:val="00AD7780"/>
    <w:rsid w:val="00AD7B96"/>
    <w:rsid w:val="00AE2263"/>
    <w:rsid w:val="00AE248E"/>
    <w:rsid w:val="00AE2D12"/>
    <w:rsid w:val="00AE2F06"/>
    <w:rsid w:val="00AE4F1C"/>
    <w:rsid w:val="00AE6691"/>
    <w:rsid w:val="00AE6AE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325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DC1"/>
    <w:rsid w:val="00B95BC8"/>
    <w:rsid w:val="00B96E87"/>
    <w:rsid w:val="00BA146A"/>
    <w:rsid w:val="00BA32EE"/>
    <w:rsid w:val="00BB427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90C"/>
    <w:rsid w:val="00C013F4"/>
    <w:rsid w:val="00C040AB"/>
    <w:rsid w:val="00C0499B"/>
    <w:rsid w:val="00C04CCA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0C8"/>
    <w:rsid w:val="00C3223B"/>
    <w:rsid w:val="00C333C6"/>
    <w:rsid w:val="00C35CC5"/>
    <w:rsid w:val="00C361C5"/>
    <w:rsid w:val="00C377D1"/>
    <w:rsid w:val="00C37BDA"/>
    <w:rsid w:val="00C37C84"/>
    <w:rsid w:val="00C42B41"/>
    <w:rsid w:val="00C42D9B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746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1BE2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0FE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9AA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383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872"/>
    <w:rsid w:val="00DD7509"/>
    <w:rsid w:val="00DD79C7"/>
    <w:rsid w:val="00DD7D6E"/>
    <w:rsid w:val="00DE07F2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3D6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2C0B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DD8"/>
    <w:rsid w:val="00EF7E26"/>
    <w:rsid w:val="00F01DFA"/>
    <w:rsid w:val="00F02096"/>
    <w:rsid w:val="00F02457"/>
    <w:rsid w:val="00F036C3"/>
    <w:rsid w:val="00F0417E"/>
    <w:rsid w:val="00F04F88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6C3"/>
    <w:rsid w:val="00F5605D"/>
    <w:rsid w:val="00F563D1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5C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CCD"/>
    <w:rsid w:val="00FD7D6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521BB-D443-4627-A4CB-A8F61051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73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3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383"/>
    <w:rPr>
      <w:b/>
      <w:bCs/>
    </w:rPr>
  </w:style>
  <w:style w:type="paragraph" w:styleId="Revision">
    <w:name w:val="Revision"/>
    <w:hidden/>
    <w:uiPriority w:val="99"/>
    <w:semiHidden/>
    <w:rsid w:val="00A379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30ED"/>
    <w:pPr>
      <w:ind w:left="720"/>
      <w:contextualSpacing/>
    </w:pPr>
  </w:style>
  <w:style w:type="character" w:styleId="Hyperlink">
    <w:name w:val="Hyperlink"/>
    <w:basedOn w:val="DefaultParagraphFont"/>
    <w:unhideWhenUsed/>
    <w:rsid w:val="00DE07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D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2918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HB00618 (Committee Report (Unamended))</vt:lpstr>
    </vt:vector>
  </TitlesOfParts>
  <Company>State of Texas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22891</dc:subject>
  <dc:creator>State of Texas</dc:creator>
  <dc:description>HB 618 by Darby-(H)Energy Resources</dc:description>
  <cp:lastModifiedBy>Stacey Nicchio</cp:lastModifiedBy>
  <cp:revision>2</cp:revision>
  <cp:lastPrinted>2003-11-26T17:21:00Z</cp:lastPrinted>
  <dcterms:created xsi:type="dcterms:W3CDTF">2023-04-19T22:43:00Z</dcterms:created>
  <dcterms:modified xsi:type="dcterms:W3CDTF">2023-04-19T22:43:00Z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23.101.655</vt:lpwstr>
  </property>
</Properties>
</file>