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940E7" w14:paraId="7118247E" w14:textId="77777777" w:rsidTr="00345119">
        <w:tc>
          <w:tcPr>
            <w:tcW w:w="9576" w:type="dxa"/>
            <w:noWrap/>
          </w:tcPr>
          <w:p w14:paraId="3D8D4EE3" w14:textId="77777777" w:rsidR="008423E4" w:rsidRPr="0022177D" w:rsidRDefault="00593C4D" w:rsidP="00CE06E4">
            <w:pPr>
              <w:pStyle w:val="Heading1"/>
            </w:pPr>
            <w:r w:rsidRPr="00631897">
              <w:t>BILL ANALYSIS</w:t>
            </w:r>
          </w:p>
        </w:tc>
      </w:tr>
    </w:tbl>
    <w:p w14:paraId="463CE14C" w14:textId="77777777" w:rsidR="008423E4" w:rsidRPr="0022177D" w:rsidRDefault="008423E4" w:rsidP="00CE06E4">
      <w:pPr>
        <w:jc w:val="center"/>
      </w:pPr>
    </w:p>
    <w:p w14:paraId="289BED43" w14:textId="77777777" w:rsidR="008423E4" w:rsidRPr="00B31F0E" w:rsidRDefault="008423E4" w:rsidP="00CE06E4"/>
    <w:p w14:paraId="00E9F637" w14:textId="77777777" w:rsidR="008423E4" w:rsidRPr="00742794" w:rsidRDefault="008423E4" w:rsidP="00CE06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940E7" w14:paraId="0934D42A" w14:textId="77777777" w:rsidTr="00345119">
        <w:tc>
          <w:tcPr>
            <w:tcW w:w="9576" w:type="dxa"/>
          </w:tcPr>
          <w:p w14:paraId="2A974B69" w14:textId="4FB8EB25" w:rsidR="008423E4" w:rsidRPr="00861995" w:rsidRDefault="00593C4D" w:rsidP="00CE06E4">
            <w:pPr>
              <w:jc w:val="right"/>
            </w:pPr>
            <w:r>
              <w:t>C.S.H.B. 673</w:t>
            </w:r>
          </w:p>
        </w:tc>
      </w:tr>
      <w:tr w:rsidR="005940E7" w14:paraId="2A448216" w14:textId="77777777" w:rsidTr="00345119">
        <w:tc>
          <w:tcPr>
            <w:tcW w:w="9576" w:type="dxa"/>
          </w:tcPr>
          <w:p w14:paraId="4ABC0624" w14:textId="10F20274" w:rsidR="008423E4" w:rsidRPr="00861995" w:rsidRDefault="00593C4D" w:rsidP="00CE06E4">
            <w:pPr>
              <w:jc w:val="right"/>
            </w:pPr>
            <w:r>
              <w:t xml:space="preserve">By: </w:t>
            </w:r>
            <w:r w:rsidR="00F830CC">
              <w:t>Collier</w:t>
            </w:r>
          </w:p>
        </w:tc>
      </w:tr>
      <w:tr w:rsidR="005940E7" w14:paraId="14FEFA91" w14:textId="77777777" w:rsidTr="00345119">
        <w:tc>
          <w:tcPr>
            <w:tcW w:w="9576" w:type="dxa"/>
          </w:tcPr>
          <w:p w14:paraId="213F5079" w14:textId="0D79177D" w:rsidR="008423E4" w:rsidRPr="00861995" w:rsidRDefault="00593C4D" w:rsidP="00CE06E4">
            <w:pPr>
              <w:jc w:val="right"/>
            </w:pPr>
            <w:r>
              <w:t>Business &amp; Industry</w:t>
            </w:r>
          </w:p>
        </w:tc>
      </w:tr>
      <w:tr w:rsidR="005940E7" w14:paraId="53BB4931" w14:textId="77777777" w:rsidTr="00345119">
        <w:tc>
          <w:tcPr>
            <w:tcW w:w="9576" w:type="dxa"/>
          </w:tcPr>
          <w:p w14:paraId="14DF4087" w14:textId="4BDB7DBA" w:rsidR="008423E4" w:rsidRDefault="00593C4D" w:rsidP="00CE06E4">
            <w:pPr>
              <w:jc w:val="right"/>
            </w:pPr>
            <w:r>
              <w:t>Committee Report (Substituted)</w:t>
            </w:r>
          </w:p>
        </w:tc>
      </w:tr>
    </w:tbl>
    <w:p w14:paraId="52F3C7F3" w14:textId="77777777" w:rsidR="008423E4" w:rsidRDefault="008423E4" w:rsidP="00CE06E4">
      <w:pPr>
        <w:tabs>
          <w:tab w:val="right" w:pos="9360"/>
        </w:tabs>
      </w:pPr>
    </w:p>
    <w:p w14:paraId="6D4A8560" w14:textId="77777777" w:rsidR="008423E4" w:rsidRDefault="008423E4" w:rsidP="00CE06E4"/>
    <w:p w14:paraId="5EEB9462" w14:textId="77777777" w:rsidR="008423E4" w:rsidRDefault="008423E4" w:rsidP="00CE06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940E7" w14:paraId="2E6FCE19" w14:textId="77777777" w:rsidTr="00345119">
        <w:tc>
          <w:tcPr>
            <w:tcW w:w="9576" w:type="dxa"/>
          </w:tcPr>
          <w:p w14:paraId="0EA84BA5" w14:textId="77777777" w:rsidR="008423E4" w:rsidRPr="00A8133F" w:rsidRDefault="00593C4D" w:rsidP="00CE06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6ABCD3" w14:textId="77777777" w:rsidR="008423E4" w:rsidRDefault="008423E4" w:rsidP="00CE06E4"/>
          <w:p w14:paraId="437E946D" w14:textId="4AAD43C2" w:rsidR="00CD3C37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U.S. Census data, n</w:t>
            </w:r>
            <w:r w:rsidR="004605B4" w:rsidRPr="004605B4">
              <w:t>early 40</w:t>
            </w:r>
            <w:r w:rsidR="004605B4">
              <w:t xml:space="preserve"> percent</w:t>
            </w:r>
            <w:r w:rsidR="004605B4" w:rsidRPr="004605B4">
              <w:t xml:space="preserve"> of Texans are renters, </w:t>
            </w:r>
            <w:r w:rsidR="00C53547">
              <w:t>yet</w:t>
            </w:r>
            <w:r w:rsidR="00C53547" w:rsidRPr="004605B4">
              <w:t xml:space="preserve"> </w:t>
            </w:r>
            <w:r w:rsidR="004605B4" w:rsidRPr="004605B4">
              <w:t>Texas still faces housing and eviction cris</w:t>
            </w:r>
            <w:r w:rsidR="001E1072">
              <w:t>e</w:t>
            </w:r>
            <w:r w:rsidR="004605B4" w:rsidRPr="004605B4">
              <w:t>s that were exacerbated by the effects of the COVID</w:t>
            </w:r>
            <w:r w:rsidR="001E1072">
              <w:t>-</w:t>
            </w:r>
            <w:r w:rsidR="004605B4" w:rsidRPr="004605B4">
              <w:t xml:space="preserve">19 pandemic. </w:t>
            </w:r>
            <w:r w:rsidR="00C53547" w:rsidRPr="004605B4">
              <w:t xml:space="preserve">Under state law, if a notice to vacate is given, a tenant is only given </w:t>
            </w:r>
            <w:r w:rsidR="00C53547">
              <w:t>three</w:t>
            </w:r>
            <w:r w:rsidR="00C53547" w:rsidRPr="004605B4">
              <w:t xml:space="preserve"> days to vacate the premises before a forcible detainer suit is filed. </w:t>
            </w:r>
            <w:r w:rsidR="00C53547">
              <w:t>This three-day period is</w:t>
            </w:r>
            <w:r>
              <w:t xml:space="preserve"> not </w:t>
            </w:r>
            <w:r w:rsidRPr="004605B4">
              <w:t>a grace period n</w:t>
            </w:r>
            <w:r w:rsidRPr="004605B4">
              <w:t xml:space="preserve">or </w:t>
            </w:r>
            <w:r w:rsidR="004210DF">
              <w:t xml:space="preserve">is it </w:t>
            </w:r>
            <w:r w:rsidRPr="004605B4">
              <w:t>a</w:t>
            </w:r>
            <w:r>
              <w:t xml:space="preserve">n </w:t>
            </w:r>
            <w:r w:rsidRPr="004605B4">
              <w:t xml:space="preserve">opportunity </w:t>
            </w:r>
            <w:r>
              <w:t xml:space="preserve">for the tenant </w:t>
            </w:r>
            <w:r w:rsidRPr="004605B4">
              <w:t>to cure any default</w:t>
            </w:r>
            <w:r>
              <w:t>—it</w:t>
            </w:r>
            <w:r w:rsidRPr="004605B4">
              <w:t xml:space="preserve"> merely starts the clock for when the tenant must be out. </w:t>
            </w:r>
            <w:r>
              <w:t xml:space="preserve">Moreover, </w:t>
            </w:r>
            <w:r w:rsidR="00C53547" w:rsidRPr="004605B4">
              <w:t xml:space="preserve">a landlord is not required to halt the eviction process if the tenant is able to make full payment and otherwise cure the original default that precipitated the notice to vacate. </w:t>
            </w:r>
          </w:p>
          <w:p w14:paraId="68F613FB" w14:textId="77777777" w:rsidR="00CD3C37" w:rsidRDefault="00CD3C37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DADA39" w14:textId="2E5072FD" w:rsidR="008423E4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605B4">
              <w:t>To address this issue, some municipalities have implemented policies that give residential tenants the right to cure a contractual default.</w:t>
            </w:r>
            <w:r w:rsidR="001E1072">
              <w:t xml:space="preserve"> </w:t>
            </w:r>
            <w:r w:rsidRPr="004605B4">
              <w:t xml:space="preserve">However, this patchwork of regulations can have a detrimental </w:t>
            </w:r>
            <w:r w:rsidRPr="004605B4">
              <w:t>impact on the economic viability of a community</w:t>
            </w:r>
            <w:r w:rsidR="00C53547">
              <w:t>.</w:t>
            </w:r>
            <w:r w:rsidR="00C63EED">
              <w:t xml:space="preserve"> </w:t>
            </w:r>
            <w:r w:rsidR="00C53547">
              <w:t>Additionally,</w:t>
            </w:r>
            <w:r w:rsidR="00C63EED">
              <w:t xml:space="preserve"> </w:t>
            </w:r>
            <w:r w:rsidR="00C53547">
              <w:t>for</w:t>
            </w:r>
            <w:r w:rsidRPr="004605B4">
              <w:t xml:space="preserve"> large companies whose business is leasing residential tenant units</w:t>
            </w:r>
            <w:r w:rsidR="00C53547">
              <w:t>,</w:t>
            </w:r>
            <w:r w:rsidRPr="004605B4">
              <w:t xml:space="preserve"> </w:t>
            </w:r>
            <w:r w:rsidR="00C53547">
              <w:t xml:space="preserve">having </w:t>
            </w:r>
            <w:r w:rsidRPr="004605B4">
              <w:t>rules for properties</w:t>
            </w:r>
            <w:r w:rsidR="00C53547">
              <w:t xml:space="preserve"> that vary by location can cause havoc on internal operations</w:t>
            </w:r>
            <w:r w:rsidRPr="004605B4">
              <w:t>.</w:t>
            </w:r>
            <w:r>
              <w:t xml:space="preserve"> </w:t>
            </w:r>
            <w:r w:rsidR="00CD3C37">
              <w:t>C.S.</w:t>
            </w:r>
            <w:r w:rsidRPr="004605B4">
              <w:t>H</w:t>
            </w:r>
            <w:r w:rsidR="00CD3C37">
              <w:t>.</w:t>
            </w:r>
            <w:r w:rsidRPr="004605B4">
              <w:t>B</w:t>
            </w:r>
            <w:r w:rsidR="00CD3C37">
              <w:t>.</w:t>
            </w:r>
            <w:r w:rsidRPr="004605B4">
              <w:t xml:space="preserve"> 673 </w:t>
            </w:r>
            <w:r w:rsidR="00CD3C37">
              <w:t xml:space="preserve">seeks to address this issue by </w:t>
            </w:r>
            <w:r w:rsidRPr="004605B4">
              <w:t>requir</w:t>
            </w:r>
            <w:r w:rsidR="00CD3C37">
              <w:t>ing</w:t>
            </w:r>
            <w:r w:rsidRPr="004605B4">
              <w:t xml:space="preserve"> landlords to give residential tenants written notice of a default that can be cured </w:t>
            </w:r>
            <w:r w:rsidR="00CD3C37">
              <w:t xml:space="preserve">and an opportunity to cure the default </w:t>
            </w:r>
            <w:r w:rsidRPr="004605B4">
              <w:t xml:space="preserve">before </w:t>
            </w:r>
            <w:r w:rsidR="00CD3C37">
              <w:t xml:space="preserve">issuing </w:t>
            </w:r>
            <w:r w:rsidRPr="004605B4">
              <w:t>a</w:t>
            </w:r>
            <w:r w:rsidRPr="004605B4">
              <w:t xml:space="preserve"> notice to vacate.</w:t>
            </w:r>
          </w:p>
          <w:p w14:paraId="6CF281F0" w14:textId="77777777" w:rsidR="008423E4" w:rsidRPr="00E26B13" w:rsidRDefault="008423E4" w:rsidP="00CE06E4">
            <w:pPr>
              <w:rPr>
                <w:b/>
              </w:rPr>
            </w:pPr>
          </w:p>
        </w:tc>
      </w:tr>
      <w:tr w:rsidR="005940E7" w14:paraId="7FE7E8CF" w14:textId="77777777" w:rsidTr="00345119">
        <w:tc>
          <w:tcPr>
            <w:tcW w:w="9576" w:type="dxa"/>
          </w:tcPr>
          <w:p w14:paraId="12425CF1" w14:textId="77777777" w:rsidR="0017725B" w:rsidRDefault="00593C4D" w:rsidP="00CE06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F44472" w14:textId="77777777" w:rsidR="0017725B" w:rsidRDefault="0017725B" w:rsidP="00CE06E4">
            <w:pPr>
              <w:rPr>
                <w:b/>
                <w:u w:val="single"/>
              </w:rPr>
            </w:pPr>
          </w:p>
          <w:p w14:paraId="6CF7A7B8" w14:textId="73EA35BA" w:rsidR="00E66BBE" w:rsidRPr="00E66BBE" w:rsidRDefault="00593C4D" w:rsidP="00CE06E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</w:t>
            </w:r>
            <w:r>
              <w:t xml:space="preserve"> for community supervision, parole, or mandatory supervision.</w:t>
            </w:r>
          </w:p>
          <w:p w14:paraId="7D1A958B" w14:textId="77777777" w:rsidR="0017725B" w:rsidRPr="0017725B" w:rsidRDefault="0017725B" w:rsidP="00CE06E4">
            <w:pPr>
              <w:rPr>
                <w:b/>
                <w:u w:val="single"/>
              </w:rPr>
            </w:pPr>
          </w:p>
        </w:tc>
      </w:tr>
      <w:tr w:rsidR="005940E7" w14:paraId="65B27D46" w14:textId="77777777" w:rsidTr="00345119">
        <w:tc>
          <w:tcPr>
            <w:tcW w:w="9576" w:type="dxa"/>
          </w:tcPr>
          <w:p w14:paraId="7EDB3C04" w14:textId="77777777" w:rsidR="008423E4" w:rsidRPr="00A8133F" w:rsidRDefault="00593C4D" w:rsidP="00CE06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9A582B" w14:textId="77777777" w:rsidR="008423E4" w:rsidRDefault="008423E4" w:rsidP="00CE06E4"/>
          <w:p w14:paraId="06BAD5BD" w14:textId="48A66AE2" w:rsidR="00E66BBE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F3D155" w14:textId="77777777" w:rsidR="008423E4" w:rsidRPr="00E21FDC" w:rsidRDefault="008423E4" w:rsidP="00CE06E4">
            <w:pPr>
              <w:rPr>
                <w:b/>
              </w:rPr>
            </w:pPr>
          </w:p>
        </w:tc>
      </w:tr>
      <w:tr w:rsidR="005940E7" w14:paraId="09108C66" w14:textId="77777777" w:rsidTr="00345119">
        <w:tc>
          <w:tcPr>
            <w:tcW w:w="9576" w:type="dxa"/>
          </w:tcPr>
          <w:p w14:paraId="0B7CC6A4" w14:textId="77777777" w:rsidR="008423E4" w:rsidRPr="00A8133F" w:rsidRDefault="00593C4D" w:rsidP="00CE06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DD3DBF" w14:textId="77777777" w:rsidR="008423E4" w:rsidRDefault="008423E4" w:rsidP="00CE06E4"/>
          <w:p w14:paraId="386D169C" w14:textId="27B55E3F" w:rsidR="004D078A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23835">
              <w:t xml:space="preserve">H.B. 673 amends the Property Code to </w:t>
            </w:r>
            <w:r w:rsidR="0097648D">
              <w:t>require a landlord to give</w:t>
            </w:r>
            <w:r w:rsidR="001D5F86">
              <w:t xml:space="preserve"> </w:t>
            </w:r>
            <w:r w:rsidR="0097648D">
              <w:t>a resident</w:t>
            </w:r>
            <w:r>
              <w:t xml:space="preserve">ial </w:t>
            </w:r>
            <w:r w:rsidRPr="00B5255A">
              <w:t xml:space="preserve">tenant </w:t>
            </w:r>
            <w:r w:rsidR="0097648D">
              <w:t xml:space="preserve">who </w:t>
            </w:r>
            <w:r>
              <w:t xml:space="preserve">defaults </w:t>
            </w:r>
            <w:r w:rsidR="00CB676B">
              <w:t xml:space="preserve">under a written lease or oral rental agreement </w:t>
            </w:r>
            <w:r>
              <w:t xml:space="preserve">the </w:t>
            </w:r>
            <w:r w:rsidR="00E24E04">
              <w:t>opportunity to cure the default</w:t>
            </w:r>
            <w:r>
              <w:t xml:space="preserve"> before </w:t>
            </w:r>
            <w:r w:rsidR="00E24E04">
              <w:t>the landlord issues</w:t>
            </w:r>
            <w:r w:rsidR="00E76CE2">
              <w:t xml:space="preserve"> a notice to vacate the premises</w:t>
            </w:r>
            <w:r w:rsidR="00F71335">
              <w:t xml:space="preserve">. </w:t>
            </w:r>
            <w:r w:rsidR="00BF7929">
              <w:t>Specifically, t</w:t>
            </w:r>
            <w:r w:rsidR="00F71335">
              <w:t xml:space="preserve">he bill </w:t>
            </w:r>
            <w:r w:rsidR="00BF7929">
              <w:t>requires the following</w:t>
            </w:r>
            <w:r w:rsidR="00F71335">
              <w:t>:</w:t>
            </w:r>
            <w:r w:rsidR="0097648D">
              <w:t xml:space="preserve"> </w:t>
            </w:r>
          </w:p>
          <w:p w14:paraId="70BB5FF4" w14:textId="194A07D8" w:rsidR="004D078A" w:rsidRDefault="00593C4D" w:rsidP="00CE06E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tenant who defaults </w:t>
            </w:r>
            <w:r w:rsidRPr="004D078A">
              <w:t>for nonpayment of rent</w:t>
            </w:r>
            <w:r>
              <w:t xml:space="preserve">, </w:t>
            </w:r>
            <w:r w:rsidR="002E667B">
              <w:t>the landlord must give the tenant</w:t>
            </w:r>
            <w:r w:rsidR="0097648D">
              <w:t xml:space="preserve"> </w:t>
            </w:r>
            <w:r w:rsidR="0097648D" w:rsidRPr="0097648D">
              <w:t>written notice demanding payment of delinquent rent and an opportunity to cure the default by paying the delinquent rent</w:t>
            </w:r>
            <w:r>
              <w:t>; and</w:t>
            </w:r>
          </w:p>
          <w:p w14:paraId="2D3413E0" w14:textId="01512538" w:rsidR="004D078A" w:rsidRDefault="00593C4D" w:rsidP="00CE06E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tenant who </w:t>
            </w:r>
            <w:r w:rsidRPr="004D078A">
              <w:t>defaults for a reason other than nonpayment of rent</w:t>
            </w:r>
            <w:r>
              <w:t xml:space="preserve">, </w:t>
            </w:r>
            <w:r w:rsidR="002E667B">
              <w:t xml:space="preserve">the landlord must give the tenant </w:t>
            </w:r>
            <w:r w:rsidRPr="004D078A">
              <w:t>written notice specifying the default and</w:t>
            </w:r>
            <w:r>
              <w:t xml:space="preserve"> </w:t>
            </w:r>
            <w:r w:rsidR="0097648D" w:rsidRPr="0097648D">
              <w:t>an opportunity to cure the default, if the reason for the default can be cured.</w:t>
            </w:r>
            <w:r w:rsidR="001D5F86">
              <w:t xml:space="preserve"> </w:t>
            </w:r>
          </w:p>
          <w:p w14:paraId="2F7CB2EF" w14:textId="5AE33976" w:rsidR="002E667B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notice to </w:t>
            </w:r>
            <w:r w:rsidRPr="00E76CE2">
              <w:t>state that</w:t>
            </w:r>
            <w:r w:rsidR="00863982">
              <w:t xml:space="preserve"> the landlord may give notice </w:t>
            </w:r>
            <w:r w:rsidR="008829C4">
              <w:t>to vacate</w:t>
            </w:r>
            <w:r w:rsidRPr="00E76CE2">
              <w:t xml:space="preserve"> if the default is not cured within </w:t>
            </w:r>
            <w:r w:rsidR="00F43544" w:rsidRPr="00F43544">
              <w:t xml:space="preserve">five calendar days </w:t>
            </w:r>
            <w:r>
              <w:t xml:space="preserve">and authorizes the landlord to issue the notice to vacate if the tenant </w:t>
            </w:r>
            <w:r w:rsidRPr="00E76CE2">
              <w:t>fails to cure the default on or before th</w:t>
            </w:r>
            <w:r w:rsidRPr="00E76CE2">
              <w:t xml:space="preserve">e </w:t>
            </w:r>
            <w:r w:rsidR="00F43544">
              <w:t>fifth calendar day</w:t>
            </w:r>
            <w:r w:rsidRPr="00E76CE2">
              <w:t xml:space="preserve"> after the delivery of the notice</w:t>
            </w:r>
            <w:r>
              <w:t xml:space="preserve"> to cure default. </w:t>
            </w:r>
            <w:r w:rsidR="007D7AD3">
              <w:t xml:space="preserve">The bill subjects the notice </w:t>
            </w:r>
            <w:r w:rsidR="0067334C">
              <w:t xml:space="preserve">to cure </w:t>
            </w:r>
            <w:r w:rsidR="007D7AD3">
              <w:t xml:space="preserve">default to the same requirements regarding method of delivery as the notice to vacate. </w:t>
            </w:r>
            <w:r w:rsidR="00F43544">
              <w:t xml:space="preserve">The bill prohibits a </w:t>
            </w:r>
            <w:r w:rsidR="004D19FB">
              <w:t>tenant</w:t>
            </w:r>
            <w:r w:rsidR="00F43544">
              <w:t xml:space="preserve"> from </w:t>
            </w:r>
            <w:r w:rsidR="00F43544" w:rsidRPr="00F43544">
              <w:t>cur</w:t>
            </w:r>
            <w:r w:rsidR="00F43544">
              <w:t>ing</w:t>
            </w:r>
            <w:r w:rsidR="00F43544" w:rsidRPr="00F43544">
              <w:t xml:space="preserve"> a default for nonpayment of rent more than one time in any 12-month period</w:t>
            </w:r>
            <w:r w:rsidR="00F43544">
              <w:t xml:space="preserve"> u</w:t>
            </w:r>
            <w:r w:rsidR="00F43544" w:rsidRPr="00F43544">
              <w:t>nless the lease provides otherwise</w:t>
            </w:r>
            <w:r w:rsidR="00F43544">
              <w:t>.</w:t>
            </w:r>
          </w:p>
          <w:p w14:paraId="0AADB5BC" w14:textId="77777777" w:rsidR="002E667B" w:rsidRDefault="002E667B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E6E057" w14:textId="57DDD089" w:rsidR="00B5255A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A0DEC">
              <w:t>H.B. 673</w:t>
            </w:r>
            <w:r w:rsidR="00704537">
              <w:t xml:space="preserve"> </w:t>
            </w:r>
            <w:r w:rsidR="00704537" w:rsidRPr="008829C4">
              <w:t>removes the option</w:t>
            </w:r>
            <w:r w:rsidR="00935C64">
              <w:t xml:space="preserve"> in current law</w:t>
            </w:r>
            <w:r w:rsidR="00704537" w:rsidRPr="008829C4">
              <w:t xml:space="preserve"> for </w:t>
            </w:r>
            <w:r w:rsidR="008829C4">
              <w:t>a</w:t>
            </w:r>
            <w:r w:rsidR="00704537" w:rsidRPr="008829C4">
              <w:t xml:space="preserve"> landlord and tenant to contract </w:t>
            </w:r>
            <w:r w:rsidR="00287704">
              <w:t xml:space="preserve">in a written lease or agreement </w:t>
            </w:r>
            <w:r w:rsidR="00704537" w:rsidRPr="008829C4">
              <w:t xml:space="preserve">for a notice </w:t>
            </w:r>
            <w:r w:rsidR="00BB11CF">
              <w:t xml:space="preserve">to vacate </w:t>
            </w:r>
            <w:r w:rsidR="00704537" w:rsidRPr="008829C4">
              <w:t>period</w:t>
            </w:r>
            <w:r w:rsidR="00054B3A">
              <w:t xml:space="preserve"> </w:t>
            </w:r>
            <w:r w:rsidR="00704537" w:rsidRPr="008829C4">
              <w:t xml:space="preserve">that is shorter or longer than the </w:t>
            </w:r>
            <w:r w:rsidR="00942ED1">
              <w:t>statutorily required</w:t>
            </w:r>
            <w:r w:rsidR="00704537" w:rsidRPr="008829C4">
              <w:t xml:space="preserve"> three-day period</w:t>
            </w:r>
            <w:r w:rsidR="00704537">
              <w:t xml:space="preserve">. </w:t>
            </w:r>
          </w:p>
          <w:p w14:paraId="5772205A" w14:textId="77777777" w:rsidR="00B5255A" w:rsidRDefault="00B5255A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1C5C56" w14:textId="7CF565F2" w:rsidR="00E66BBE" w:rsidRPr="009C36CD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5255A">
              <w:t>H.B. 673</w:t>
            </w:r>
            <w:r>
              <w:t xml:space="preserve"> </w:t>
            </w:r>
            <w:r w:rsidRPr="00E66BBE">
              <w:t>appl</w:t>
            </w:r>
            <w:r w:rsidR="00B5255A">
              <w:t>ies</w:t>
            </w:r>
            <w:r w:rsidRPr="00E66BBE">
              <w:t xml:space="preserve"> only to a notice to vacate given on or after the </w:t>
            </w:r>
            <w:r w:rsidR="00AD34EE">
              <w:t xml:space="preserve">bill's </w:t>
            </w:r>
            <w:r w:rsidRPr="00E66BBE">
              <w:t>effective date</w:t>
            </w:r>
            <w:r>
              <w:t xml:space="preserve">.  </w:t>
            </w:r>
          </w:p>
          <w:p w14:paraId="5308862F" w14:textId="77777777" w:rsidR="008423E4" w:rsidRPr="00835628" w:rsidRDefault="008423E4" w:rsidP="00CE06E4">
            <w:pPr>
              <w:rPr>
                <w:b/>
              </w:rPr>
            </w:pPr>
          </w:p>
        </w:tc>
      </w:tr>
      <w:tr w:rsidR="005940E7" w14:paraId="17E312C8" w14:textId="77777777" w:rsidTr="00345119">
        <w:tc>
          <w:tcPr>
            <w:tcW w:w="9576" w:type="dxa"/>
          </w:tcPr>
          <w:p w14:paraId="5AE6D7EE" w14:textId="77777777" w:rsidR="008423E4" w:rsidRPr="00A8133F" w:rsidRDefault="00593C4D" w:rsidP="00CE06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F6AC1C" w14:textId="77777777" w:rsidR="008423E4" w:rsidRDefault="008423E4" w:rsidP="00CE06E4"/>
          <w:p w14:paraId="6635A887" w14:textId="731725D6" w:rsidR="008423E4" w:rsidRPr="003624F2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38F34A3" w14:textId="77777777" w:rsidR="008423E4" w:rsidRPr="00233FDB" w:rsidRDefault="008423E4" w:rsidP="00CE06E4">
            <w:pPr>
              <w:rPr>
                <w:b/>
              </w:rPr>
            </w:pPr>
          </w:p>
        </w:tc>
      </w:tr>
      <w:tr w:rsidR="005940E7" w14:paraId="57BCE04B" w14:textId="77777777" w:rsidTr="00345119">
        <w:tc>
          <w:tcPr>
            <w:tcW w:w="9576" w:type="dxa"/>
          </w:tcPr>
          <w:p w14:paraId="00C3EB72" w14:textId="77777777" w:rsidR="00F830CC" w:rsidRDefault="00593C4D" w:rsidP="00CE06E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3A5CEE5E" w14:textId="77777777" w:rsidR="00F43544" w:rsidRDefault="00F43544" w:rsidP="00CE06E4">
            <w:pPr>
              <w:jc w:val="both"/>
            </w:pPr>
          </w:p>
          <w:p w14:paraId="7217441E" w14:textId="60D7F2B6" w:rsidR="00F43544" w:rsidRDefault="00593C4D" w:rsidP="00CE06E4">
            <w:pPr>
              <w:jc w:val="both"/>
            </w:pPr>
            <w:r>
              <w:t>While C.S.H.B. 673 may differ from the introduced in minor or nonsubstantive ways, the following summarizes the substantial differences between the introduced and committee substitute versions of the bill.</w:t>
            </w:r>
          </w:p>
          <w:p w14:paraId="3FE655F6" w14:textId="13107D55" w:rsidR="00F43544" w:rsidRDefault="00F43544" w:rsidP="00CE06E4">
            <w:pPr>
              <w:jc w:val="both"/>
            </w:pPr>
          </w:p>
          <w:p w14:paraId="3F5004E8" w14:textId="6C4D3155" w:rsidR="004605B4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</w:t>
            </w:r>
            <w:r w:rsidR="004D19FB">
              <w:t xml:space="preserve">changes </w:t>
            </w:r>
            <w:r>
              <w:t xml:space="preserve">the </w:t>
            </w:r>
            <w:r w:rsidR="00F343D3">
              <w:t>date</w:t>
            </w:r>
            <w:r w:rsidR="004D19FB">
              <w:t xml:space="preserve"> by which a tenant must cure a default before </w:t>
            </w:r>
            <w:r w:rsidR="00120F7E">
              <w:t>the landlord may give notice to vacate</w:t>
            </w:r>
            <w:r w:rsidR="00F343D3">
              <w:t xml:space="preserve">. The introduced required the tenant to cure the default </w:t>
            </w:r>
            <w:r w:rsidR="004D19FB">
              <w:t xml:space="preserve">on or before </w:t>
            </w:r>
            <w:r w:rsidR="00120F7E">
              <w:t>the seventh day</w:t>
            </w:r>
            <w:r w:rsidR="004D19FB">
              <w:t xml:space="preserve"> after the landlord</w:t>
            </w:r>
            <w:r w:rsidR="00390035">
              <w:t xml:space="preserve"> delivers written notice of the default</w:t>
            </w:r>
            <w:r>
              <w:t xml:space="preserve">, </w:t>
            </w:r>
            <w:r w:rsidR="00F343D3">
              <w:t>but the substitute required the tenant to cure the default on or before</w:t>
            </w:r>
            <w:r>
              <w:t xml:space="preserve"> </w:t>
            </w:r>
            <w:r w:rsidR="00120F7E">
              <w:t>the fifth calendar day</w:t>
            </w:r>
            <w:r w:rsidR="00390035">
              <w:t xml:space="preserve"> after the delivery</w:t>
            </w:r>
            <w:r>
              <w:t>.</w:t>
            </w:r>
            <w:r w:rsidR="00120F7E">
              <w:t xml:space="preserve"> </w:t>
            </w:r>
          </w:p>
          <w:p w14:paraId="45F1706B" w14:textId="77777777" w:rsidR="004605B4" w:rsidRDefault="004605B4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E578CC" w14:textId="7F94D26D" w:rsidR="004605B4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20F7E">
              <w:t>The substitute</w:t>
            </w:r>
            <w:r w:rsidR="00F343D3">
              <w:t xml:space="preserve">, but not the introduced, provides that, unless a lease provides otherwise, a tenant may not cure </w:t>
            </w:r>
            <w:r w:rsidRPr="00F43544">
              <w:t>a default for nonpayment of rent more than one time in any 12-month period</w:t>
            </w:r>
            <w:r w:rsidR="00F343D3">
              <w:t>.</w:t>
            </w:r>
            <w:r>
              <w:t xml:space="preserve"> </w:t>
            </w:r>
          </w:p>
          <w:p w14:paraId="6A42B201" w14:textId="77777777" w:rsidR="004605B4" w:rsidRDefault="004605B4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B37C85" w14:textId="58F48919" w:rsidR="00F43544" w:rsidRPr="00F43544" w:rsidRDefault="00593C4D" w:rsidP="00CE06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20F7E">
              <w:t xml:space="preserve">The substitute </w:t>
            </w:r>
            <w:r w:rsidR="00F343D3">
              <w:t>does not include</w:t>
            </w:r>
            <w:r w:rsidRPr="00120F7E">
              <w:t xml:space="preserve"> </w:t>
            </w:r>
            <w:r w:rsidR="004605B4">
              <w:t xml:space="preserve">a provision that appeared in the introduced </w:t>
            </w:r>
            <w:r>
              <w:t>limi</w:t>
            </w:r>
            <w:r>
              <w:t>t</w:t>
            </w:r>
            <w:r w:rsidR="004605B4">
              <w:t>ing</w:t>
            </w:r>
            <w:r>
              <w:t xml:space="preserve"> the method of delivery that a landlord may use for mailing a notice to vacate to certified mail, return receipt requested</w:t>
            </w:r>
            <w:r w:rsidR="004605B4">
              <w:t>.</w:t>
            </w:r>
            <w:r w:rsidRPr="00120F7E">
              <w:t xml:space="preserve"> </w:t>
            </w:r>
          </w:p>
        </w:tc>
      </w:tr>
      <w:tr w:rsidR="005940E7" w14:paraId="65DF613A" w14:textId="77777777" w:rsidTr="00345119">
        <w:tc>
          <w:tcPr>
            <w:tcW w:w="9576" w:type="dxa"/>
          </w:tcPr>
          <w:p w14:paraId="7C1FAA90" w14:textId="77777777" w:rsidR="00F830CC" w:rsidRPr="009C1E9A" w:rsidRDefault="00F830CC" w:rsidP="00CE06E4">
            <w:pPr>
              <w:rPr>
                <w:b/>
                <w:u w:val="single"/>
              </w:rPr>
            </w:pPr>
          </w:p>
        </w:tc>
      </w:tr>
      <w:tr w:rsidR="005940E7" w14:paraId="021AACF6" w14:textId="77777777" w:rsidTr="00345119">
        <w:tc>
          <w:tcPr>
            <w:tcW w:w="9576" w:type="dxa"/>
          </w:tcPr>
          <w:p w14:paraId="6EE5D49E" w14:textId="77777777" w:rsidR="00F830CC" w:rsidRPr="00F830CC" w:rsidRDefault="00F830CC" w:rsidP="00CE06E4">
            <w:pPr>
              <w:jc w:val="both"/>
            </w:pPr>
          </w:p>
        </w:tc>
      </w:tr>
    </w:tbl>
    <w:p w14:paraId="7D5433A8" w14:textId="77777777" w:rsidR="008423E4" w:rsidRPr="00BE0E75" w:rsidRDefault="008423E4" w:rsidP="00CE06E4">
      <w:pPr>
        <w:jc w:val="both"/>
        <w:rPr>
          <w:rFonts w:ascii="Arial" w:hAnsi="Arial"/>
          <w:sz w:val="16"/>
          <w:szCs w:val="16"/>
        </w:rPr>
      </w:pPr>
    </w:p>
    <w:p w14:paraId="224EAC4B" w14:textId="77777777" w:rsidR="004108C3" w:rsidRPr="008423E4" w:rsidRDefault="004108C3" w:rsidP="00CE06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9DDC" w14:textId="77777777" w:rsidR="00000000" w:rsidRDefault="00593C4D">
      <w:r>
        <w:separator/>
      </w:r>
    </w:p>
  </w:endnote>
  <w:endnote w:type="continuationSeparator" w:id="0">
    <w:p w14:paraId="1BCCD03B" w14:textId="77777777" w:rsidR="00000000" w:rsidRDefault="0059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A42D" w14:textId="77777777" w:rsidR="004254D6" w:rsidRDefault="00425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940E7" w14:paraId="27546B12" w14:textId="77777777" w:rsidTr="009C1E9A">
      <w:trPr>
        <w:cantSplit/>
      </w:trPr>
      <w:tc>
        <w:tcPr>
          <w:tcW w:w="0" w:type="pct"/>
        </w:tcPr>
        <w:p w14:paraId="733FB6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3871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8FFC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59CB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E146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40E7" w14:paraId="1B1242D7" w14:textId="77777777" w:rsidTr="009C1E9A">
      <w:trPr>
        <w:cantSplit/>
      </w:trPr>
      <w:tc>
        <w:tcPr>
          <w:tcW w:w="0" w:type="pct"/>
        </w:tcPr>
        <w:p w14:paraId="6C9C67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491FFD" w14:textId="3786E851" w:rsidR="00EC379B" w:rsidRPr="009C1E9A" w:rsidRDefault="00593C4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28699-D</w:t>
          </w:r>
        </w:p>
      </w:tc>
      <w:tc>
        <w:tcPr>
          <w:tcW w:w="2453" w:type="pct"/>
        </w:tcPr>
        <w:p w14:paraId="5B5D083F" w14:textId="7A58E84B" w:rsidR="00EC379B" w:rsidRDefault="00593C4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6B69">
            <w:t>23.126.1386</w:t>
          </w:r>
          <w:r>
            <w:fldChar w:fldCharType="end"/>
          </w:r>
        </w:p>
      </w:tc>
    </w:tr>
    <w:tr w:rsidR="005940E7" w14:paraId="4CC3B416" w14:textId="77777777" w:rsidTr="009C1E9A">
      <w:trPr>
        <w:cantSplit/>
      </w:trPr>
      <w:tc>
        <w:tcPr>
          <w:tcW w:w="0" w:type="pct"/>
        </w:tcPr>
        <w:p w14:paraId="269ADF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7AA168" w14:textId="7986D1C0" w:rsidR="00EC379B" w:rsidRPr="009C1E9A" w:rsidRDefault="00593C4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23708</w:t>
          </w:r>
        </w:p>
      </w:tc>
      <w:tc>
        <w:tcPr>
          <w:tcW w:w="2453" w:type="pct"/>
        </w:tcPr>
        <w:p w14:paraId="618EE4D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ED6E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40E7" w14:paraId="6DF899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E07D9F" w14:textId="77777777" w:rsidR="00EC379B" w:rsidRDefault="00593C4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3FF7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3643B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17D2" w14:textId="77777777" w:rsidR="004254D6" w:rsidRDefault="0042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E676" w14:textId="77777777" w:rsidR="00000000" w:rsidRDefault="00593C4D">
      <w:r>
        <w:separator/>
      </w:r>
    </w:p>
  </w:footnote>
  <w:footnote w:type="continuationSeparator" w:id="0">
    <w:p w14:paraId="391789B5" w14:textId="77777777" w:rsidR="00000000" w:rsidRDefault="0059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B1B1" w14:textId="77777777" w:rsidR="004254D6" w:rsidRDefault="00425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B592" w14:textId="77777777" w:rsidR="004254D6" w:rsidRDefault="00425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EC8C" w14:textId="77777777" w:rsidR="004254D6" w:rsidRDefault="00425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29B"/>
    <w:multiLevelType w:val="hybridMultilevel"/>
    <w:tmpl w:val="9CB4330A"/>
    <w:lvl w:ilvl="0" w:tplc="574C89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320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2C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A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A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E6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2A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8E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AC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50D0"/>
    <w:multiLevelType w:val="hybridMultilevel"/>
    <w:tmpl w:val="FF2CE8F6"/>
    <w:lvl w:ilvl="0" w:tplc="421A4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0E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0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3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E1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24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D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CD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F6C98"/>
    <w:multiLevelType w:val="hybridMultilevel"/>
    <w:tmpl w:val="CEF89C42"/>
    <w:lvl w:ilvl="0" w:tplc="C94E3B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CA7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86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26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8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05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4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CA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23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14861">
    <w:abstractNumId w:val="1"/>
  </w:num>
  <w:num w:numId="2" w16cid:durableId="696351329">
    <w:abstractNumId w:val="2"/>
  </w:num>
  <w:num w:numId="3" w16cid:durableId="91127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35"/>
    <w:rsid w:val="00000A70"/>
    <w:rsid w:val="000032B8"/>
    <w:rsid w:val="00003B06"/>
    <w:rsid w:val="000054B9"/>
    <w:rsid w:val="00007461"/>
    <w:rsid w:val="0001117E"/>
    <w:rsid w:val="0001125F"/>
    <w:rsid w:val="00012F1C"/>
    <w:rsid w:val="0001338E"/>
    <w:rsid w:val="00013D24"/>
    <w:rsid w:val="00014AF0"/>
    <w:rsid w:val="0001526D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AD8"/>
    <w:rsid w:val="000400D5"/>
    <w:rsid w:val="00043B84"/>
    <w:rsid w:val="0004512B"/>
    <w:rsid w:val="0004577E"/>
    <w:rsid w:val="000463F0"/>
    <w:rsid w:val="00046BDA"/>
    <w:rsid w:val="0004762E"/>
    <w:rsid w:val="000532BD"/>
    <w:rsid w:val="00054B3A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F7E"/>
    <w:rsid w:val="001218D2"/>
    <w:rsid w:val="0012371B"/>
    <w:rsid w:val="001245C8"/>
    <w:rsid w:val="00124653"/>
    <w:rsid w:val="001247C5"/>
    <w:rsid w:val="00127893"/>
    <w:rsid w:val="001312BB"/>
    <w:rsid w:val="00136257"/>
    <w:rsid w:val="00136B6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F86"/>
    <w:rsid w:val="001E1072"/>
    <w:rsid w:val="001E2CAD"/>
    <w:rsid w:val="001E34DB"/>
    <w:rsid w:val="001E37CD"/>
    <w:rsid w:val="001E4070"/>
    <w:rsid w:val="001E655E"/>
    <w:rsid w:val="001F3CB8"/>
    <w:rsid w:val="001F6B91"/>
    <w:rsid w:val="001F703C"/>
    <w:rsid w:val="001F7B80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0BA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704"/>
    <w:rsid w:val="00291518"/>
    <w:rsid w:val="00296FF0"/>
    <w:rsid w:val="002A0DEC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D5B"/>
    <w:rsid w:val="002D05CC"/>
    <w:rsid w:val="002D305A"/>
    <w:rsid w:val="002E21B8"/>
    <w:rsid w:val="002E667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DD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35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0DF"/>
    <w:rsid w:val="00422039"/>
    <w:rsid w:val="00423FBC"/>
    <w:rsid w:val="004241AA"/>
    <w:rsid w:val="0042422E"/>
    <w:rsid w:val="004254D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5B4"/>
    <w:rsid w:val="00461B69"/>
    <w:rsid w:val="00462B3D"/>
    <w:rsid w:val="004675E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78A"/>
    <w:rsid w:val="004D19FB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A9D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C4D"/>
    <w:rsid w:val="00593DF8"/>
    <w:rsid w:val="005940E7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34C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C46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537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0A4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AD3"/>
    <w:rsid w:val="007D7FCB"/>
    <w:rsid w:val="007E33B6"/>
    <w:rsid w:val="007E59E8"/>
    <w:rsid w:val="007F3861"/>
    <w:rsid w:val="007F4162"/>
    <w:rsid w:val="007F5441"/>
    <w:rsid w:val="007F7668"/>
    <w:rsid w:val="007F7963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98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9C4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3E1"/>
    <w:rsid w:val="008B7785"/>
    <w:rsid w:val="008B79F2"/>
    <w:rsid w:val="008C0809"/>
    <w:rsid w:val="008C132C"/>
    <w:rsid w:val="008C3FD0"/>
    <w:rsid w:val="008D27A5"/>
    <w:rsid w:val="008D2AAB"/>
    <w:rsid w:val="008D2E9F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C69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C64"/>
    <w:rsid w:val="009375BB"/>
    <w:rsid w:val="009418E9"/>
    <w:rsid w:val="00942ED1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48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851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4EE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55A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17F"/>
    <w:rsid w:val="00B90097"/>
    <w:rsid w:val="00B90999"/>
    <w:rsid w:val="00B91AD7"/>
    <w:rsid w:val="00B92D23"/>
    <w:rsid w:val="00B95BC8"/>
    <w:rsid w:val="00B96E87"/>
    <w:rsid w:val="00BA146A"/>
    <w:rsid w:val="00BA32E0"/>
    <w:rsid w:val="00BA32EE"/>
    <w:rsid w:val="00BB11C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92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547"/>
    <w:rsid w:val="00C57933"/>
    <w:rsid w:val="00C60206"/>
    <w:rsid w:val="00C615D4"/>
    <w:rsid w:val="00C61B5D"/>
    <w:rsid w:val="00C61C0E"/>
    <w:rsid w:val="00C61C64"/>
    <w:rsid w:val="00C61CDA"/>
    <w:rsid w:val="00C63EE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76B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C37"/>
    <w:rsid w:val="00CD4F2C"/>
    <w:rsid w:val="00CD731C"/>
    <w:rsid w:val="00CE06E4"/>
    <w:rsid w:val="00CE08E8"/>
    <w:rsid w:val="00CE2133"/>
    <w:rsid w:val="00CE245D"/>
    <w:rsid w:val="00CE300F"/>
    <w:rsid w:val="00CE3582"/>
    <w:rsid w:val="00CE3795"/>
    <w:rsid w:val="00CE3E20"/>
    <w:rsid w:val="00CE755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0AA"/>
    <w:rsid w:val="00D22160"/>
    <w:rsid w:val="00D22172"/>
    <w:rsid w:val="00D2301B"/>
    <w:rsid w:val="00D23835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04A"/>
    <w:rsid w:val="00E24E0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BBE"/>
    <w:rsid w:val="00E67794"/>
    <w:rsid w:val="00E70CC6"/>
    <w:rsid w:val="00E71254"/>
    <w:rsid w:val="00E73CCD"/>
    <w:rsid w:val="00E76453"/>
    <w:rsid w:val="00E76CE2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913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3D3"/>
    <w:rsid w:val="00F36E92"/>
    <w:rsid w:val="00F36FE0"/>
    <w:rsid w:val="00F37EA8"/>
    <w:rsid w:val="00F40B14"/>
    <w:rsid w:val="00F41186"/>
    <w:rsid w:val="00F41EEF"/>
    <w:rsid w:val="00F41FAC"/>
    <w:rsid w:val="00F420C6"/>
    <w:rsid w:val="00F423D3"/>
    <w:rsid w:val="00F43544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335"/>
    <w:rsid w:val="00F71C5A"/>
    <w:rsid w:val="00F733A4"/>
    <w:rsid w:val="00F7758F"/>
    <w:rsid w:val="00F82811"/>
    <w:rsid w:val="00F830CC"/>
    <w:rsid w:val="00F84153"/>
    <w:rsid w:val="00F85624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CAF42-9474-422A-A98E-26C1D395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20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0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04A"/>
    <w:rPr>
      <w:b/>
      <w:bCs/>
    </w:rPr>
  </w:style>
  <w:style w:type="paragraph" w:styleId="Revision">
    <w:name w:val="Revision"/>
    <w:hidden/>
    <w:uiPriority w:val="99"/>
    <w:semiHidden/>
    <w:rsid w:val="007F7963"/>
    <w:rPr>
      <w:sz w:val="24"/>
      <w:szCs w:val="24"/>
    </w:rPr>
  </w:style>
  <w:style w:type="character" w:styleId="Hyperlink">
    <w:name w:val="Hyperlink"/>
    <w:basedOn w:val="DefaultParagraphFont"/>
    <w:unhideWhenUsed/>
    <w:rsid w:val="006B1C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3859</Characters>
  <Application>Microsoft Office Word</Application>
  <DocSecurity>4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HB00673 (Committee Report (Substituted))</vt:lpstr>
    </vt:vector>
  </TitlesOfParts>
  <Company>State of Texas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28699</dc:subject>
  <dc:creator>State of Texas</dc:creator>
  <dc:description>HB 673 by Collier-(H)Business &amp; Industry (Substitute Document Number: 88R 23708)</dc:description>
  <cp:lastModifiedBy>Stacey Nicchio</cp:lastModifiedBy>
  <cp:revision>2</cp:revision>
  <cp:lastPrinted>2003-11-26T17:21:00Z</cp:lastPrinted>
  <dcterms:created xsi:type="dcterms:W3CDTF">2023-05-09T00:06:00Z</dcterms:created>
  <dcterms:modified xsi:type="dcterms:W3CDTF">2023-05-09T00:06:00Z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23.126.1386</vt:lpwstr>
  </property>
</Properties>
</file>