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D2569A" w14:paraId="42D9C19C" w14:textId="77777777">
        <w:tc>
          <w:tcPr>
            <w:tcW w:w="9576" w:type="dxa"/>
            <w:noWrap/>
          </w:tcPr>
          <w:p w14:paraId="39FD3B53" w14:textId="77777777" w:rsidR="008423E4" w:rsidRPr="0022177D" w:rsidRDefault="00A45798" w:rsidP="008A3EBB">
            <w:pPr>
              <w:pStyle w:val="Heading1"/>
            </w:pPr>
            <w:r w:rsidRPr="00631897">
              <w:t>BILL ANALYSIS</w:t>
            </w:r>
          </w:p>
        </w:tc>
      </w:tr>
    </w:tbl>
    <w:p w14:paraId="36E54B13" w14:textId="77777777" w:rsidR="008423E4" w:rsidRPr="0022177D" w:rsidRDefault="008423E4" w:rsidP="008A3EBB">
      <w:pPr>
        <w:jc w:val="center"/>
      </w:pPr>
    </w:p>
    <w:p w14:paraId="157DE3BC" w14:textId="77777777" w:rsidR="008423E4" w:rsidRPr="00B31F0E" w:rsidRDefault="008423E4" w:rsidP="008A3EBB"/>
    <w:p w14:paraId="19964FE2" w14:textId="77777777" w:rsidR="008423E4" w:rsidRPr="00742794" w:rsidRDefault="008423E4" w:rsidP="008A3EB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2569A" w14:paraId="655ACE64" w14:textId="77777777">
        <w:tc>
          <w:tcPr>
            <w:tcW w:w="9576" w:type="dxa"/>
          </w:tcPr>
          <w:p w14:paraId="36834780" w14:textId="5C10F477" w:rsidR="008423E4" w:rsidRPr="00861995" w:rsidRDefault="00A45798" w:rsidP="008A3EBB">
            <w:pPr>
              <w:jc w:val="right"/>
            </w:pPr>
            <w:r>
              <w:t>C.S.H.B. 711</w:t>
            </w:r>
          </w:p>
        </w:tc>
      </w:tr>
      <w:tr w:rsidR="00D2569A" w14:paraId="6AED6A65" w14:textId="77777777">
        <w:tc>
          <w:tcPr>
            <w:tcW w:w="9576" w:type="dxa"/>
          </w:tcPr>
          <w:p w14:paraId="67ACCAD0" w14:textId="15DB5418" w:rsidR="008423E4" w:rsidRPr="00861995" w:rsidRDefault="00A45798" w:rsidP="008A3EBB">
            <w:pPr>
              <w:jc w:val="right"/>
            </w:pPr>
            <w:r>
              <w:t xml:space="preserve">By: </w:t>
            </w:r>
            <w:r w:rsidR="00A41EFE">
              <w:t>Frank</w:t>
            </w:r>
          </w:p>
        </w:tc>
      </w:tr>
      <w:tr w:rsidR="00D2569A" w14:paraId="736B5385" w14:textId="77777777">
        <w:tc>
          <w:tcPr>
            <w:tcW w:w="9576" w:type="dxa"/>
          </w:tcPr>
          <w:p w14:paraId="3117A6EB" w14:textId="6BF80F74" w:rsidR="008423E4" w:rsidRPr="00861995" w:rsidRDefault="00A45798" w:rsidP="008A3EBB">
            <w:pPr>
              <w:jc w:val="right"/>
            </w:pPr>
            <w:r>
              <w:t>Health Care Reform, Select</w:t>
            </w:r>
          </w:p>
        </w:tc>
      </w:tr>
      <w:tr w:rsidR="00D2569A" w14:paraId="1ECEA57B" w14:textId="77777777">
        <w:tc>
          <w:tcPr>
            <w:tcW w:w="9576" w:type="dxa"/>
          </w:tcPr>
          <w:p w14:paraId="77700076" w14:textId="72F4A03B" w:rsidR="008423E4" w:rsidRDefault="00A45798" w:rsidP="008A3EBB">
            <w:pPr>
              <w:jc w:val="right"/>
            </w:pPr>
            <w:r>
              <w:t>Committee Report (Substituted)</w:t>
            </w:r>
          </w:p>
        </w:tc>
      </w:tr>
    </w:tbl>
    <w:p w14:paraId="78AF27D6" w14:textId="77777777" w:rsidR="008423E4" w:rsidRDefault="008423E4" w:rsidP="008A3EBB">
      <w:pPr>
        <w:tabs>
          <w:tab w:val="right" w:pos="9360"/>
        </w:tabs>
      </w:pPr>
    </w:p>
    <w:p w14:paraId="729839DF" w14:textId="77777777" w:rsidR="008423E4" w:rsidRDefault="008423E4" w:rsidP="008A3EBB"/>
    <w:p w14:paraId="54F1070A" w14:textId="77777777" w:rsidR="008423E4" w:rsidRDefault="008423E4" w:rsidP="008A3EB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D2569A" w14:paraId="710D1298" w14:textId="77777777">
        <w:tc>
          <w:tcPr>
            <w:tcW w:w="9576" w:type="dxa"/>
          </w:tcPr>
          <w:p w14:paraId="3DA7DB2E" w14:textId="77777777" w:rsidR="008423E4" w:rsidRPr="00A8133F" w:rsidRDefault="00A45798" w:rsidP="008A3EB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B9057AA" w14:textId="77777777" w:rsidR="008423E4" w:rsidRDefault="008423E4" w:rsidP="008A3EBB"/>
          <w:p w14:paraId="1B7FFA70" w14:textId="671E7F65" w:rsidR="008423E4" w:rsidRDefault="00A45798" w:rsidP="008A3EB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National Academy for State Health Policy (NASHP) reports that since 2009, health insurance premiums have risen more </w:t>
            </w:r>
            <w:r>
              <w:t>than 50 percent while deductibles have gone up by 162</w:t>
            </w:r>
            <w:r w:rsidR="00E15384">
              <w:t> </w:t>
            </w:r>
            <w:r>
              <w:t>percent. Over this same period, wages have risen only 20 percent according to NASHP. A report on anticompetitive contracting practices from the Petris Center claims that consolidation in the health</w:t>
            </w:r>
            <w:r w:rsidR="005956D3">
              <w:t xml:space="preserve"> </w:t>
            </w:r>
            <w:r>
              <w:t>care</w:t>
            </w:r>
            <w:r>
              <w:t xml:space="preserve"> and insurer markets is increasing and suggests that this consolidation has </w:t>
            </w:r>
            <w:r w:rsidR="00136333">
              <w:t>played</w:t>
            </w:r>
            <w:r>
              <w:t xml:space="preserve"> a role in the skyrocketing costs of health</w:t>
            </w:r>
            <w:r w:rsidR="005956D3">
              <w:t xml:space="preserve"> </w:t>
            </w:r>
            <w:r>
              <w:t>care in America. The report suggests that regulating certain anticompetitive contract provisions such as gag clauses and most favo</w:t>
            </w:r>
            <w:r>
              <w:t xml:space="preserve">red nations clauses could help restore competition and drive down costs. C.S.H.B. 711 seeks to </w:t>
            </w:r>
            <w:r w:rsidR="00136333" w:rsidRPr="00136333">
              <w:t>prohibit the use of certain anticompetitive contract clauses.</w:t>
            </w:r>
          </w:p>
          <w:p w14:paraId="17B760E6" w14:textId="77777777" w:rsidR="008423E4" w:rsidRPr="00E26B13" w:rsidRDefault="008423E4" w:rsidP="008A3EBB">
            <w:pPr>
              <w:rPr>
                <w:b/>
              </w:rPr>
            </w:pPr>
          </w:p>
        </w:tc>
      </w:tr>
      <w:tr w:rsidR="00D2569A" w14:paraId="359DC12B" w14:textId="77777777">
        <w:tc>
          <w:tcPr>
            <w:tcW w:w="9576" w:type="dxa"/>
          </w:tcPr>
          <w:p w14:paraId="1D8F5685" w14:textId="77777777" w:rsidR="0017725B" w:rsidRDefault="00A45798" w:rsidP="008A3EB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EF6E530" w14:textId="77777777" w:rsidR="0017725B" w:rsidRDefault="0017725B" w:rsidP="008A3EBB">
            <w:pPr>
              <w:rPr>
                <w:b/>
                <w:u w:val="single"/>
              </w:rPr>
            </w:pPr>
          </w:p>
          <w:p w14:paraId="40C07E84" w14:textId="33C2585C" w:rsidR="00EA331D" w:rsidRPr="00EA331D" w:rsidRDefault="00A45798" w:rsidP="008A3EBB">
            <w:pPr>
              <w:jc w:val="both"/>
            </w:pPr>
            <w:r>
              <w:t>It is the committee's opinion that this bill does not expressly create a</w:t>
            </w:r>
            <w:r>
              <w:t xml:space="preserve"> criminal offense, increase the punishment for an existing criminal offense or category of offenses, or change the eligibility of a person for community supervision, parole, or mandatory supervision.</w:t>
            </w:r>
          </w:p>
          <w:p w14:paraId="5C25EA63" w14:textId="77777777" w:rsidR="0017725B" w:rsidRPr="0017725B" w:rsidRDefault="0017725B" w:rsidP="008A3EBB">
            <w:pPr>
              <w:rPr>
                <w:b/>
                <w:u w:val="single"/>
              </w:rPr>
            </w:pPr>
          </w:p>
        </w:tc>
      </w:tr>
      <w:tr w:rsidR="00D2569A" w14:paraId="69004C74" w14:textId="77777777">
        <w:tc>
          <w:tcPr>
            <w:tcW w:w="9576" w:type="dxa"/>
          </w:tcPr>
          <w:p w14:paraId="00084E77" w14:textId="77777777" w:rsidR="008423E4" w:rsidRPr="00A8133F" w:rsidRDefault="00A45798" w:rsidP="008A3EB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9B6D56A" w14:textId="77777777" w:rsidR="008423E4" w:rsidRDefault="008423E4" w:rsidP="008A3EBB"/>
          <w:p w14:paraId="0B8433AA" w14:textId="69BEA52C" w:rsidR="00EA331D" w:rsidRDefault="00A45798" w:rsidP="008A3EB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</w:t>
            </w:r>
            <w:r>
              <w:t>hat this bill does not expressly grant any additional rulemaking authority to a state officer, department, agency, or institution.</w:t>
            </w:r>
          </w:p>
          <w:p w14:paraId="10C4CD2F" w14:textId="77777777" w:rsidR="008423E4" w:rsidRPr="00E21FDC" w:rsidRDefault="008423E4" w:rsidP="008A3EBB">
            <w:pPr>
              <w:rPr>
                <w:b/>
              </w:rPr>
            </w:pPr>
          </w:p>
        </w:tc>
      </w:tr>
      <w:tr w:rsidR="00D2569A" w14:paraId="31A3D970" w14:textId="77777777">
        <w:tc>
          <w:tcPr>
            <w:tcW w:w="9576" w:type="dxa"/>
          </w:tcPr>
          <w:p w14:paraId="4B81E9D0" w14:textId="77777777" w:rsidR="008423E4" w:rsidRPr="00A8133F" w:rsidRDefault="00A45798" w:rsidP="008A3EB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1F3AB13" w14:textId="77777777" w:rsidR="008423E4" w:rsidRDefault="008423E4" w:rsidP="008A3EBB"/>
          <w:p w14:paraId="20E56C7E" w14:textId="3475CEB4" w:rsidR="00D60B25" w:rsidRDefault="00A45798" w:rsidP="008A3EB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672EE1">
              <w:t xml:space="preserve">H.B. 711 amends the Insurance Code to prohibit </w:t>
            </w:r>
            <w:r w:rsidR="00205D19">
              <w:t>an applicable</w:t>
            </w:r>
            <w:r>
              <w:t xml:space="preserve"> health care</w:t>
            </w:r>
            <w:r w:rsidR="00672EE1">
              <w:t xml:space="preserve"> provider</w:t>
            </w:r>
            <w:r>
              <w:t xml:space="preserve"> </w:t>
            </w:r>
            <w:r w:rsidR="00F70DC1">
              <w:t>from</w:t>
            </w:r>
            <w:r>
              <w:t xml:space="preserve"> do</w:t>
            </w:r>
            <w:r w:rsidR="00F70DC1">
              <w:t>ing</w:t>
            </w:r>
            <w:r>
              <w:t xml:space="preserve"> </w:t>
            </w:r>
            <w:r w:rsidR="00205D19">
              <w:t xml:space="preserve">any of </w:t>
            </w:r>
            <w:r>
              <w:t xml:space="preserve">the </w:t>
            </w:r>
            <w:r>
              <w:t>following</w:t>
            </w:r>
            <w:r w:rsidR="00FF0B5D">
              <w:t xml:space="preserve"> with respect to a provider network contract</w:t>
            </w:r>
            <w:r>
              <w:t>:</w:t>
            </w:r>
          </w:p>
          <w:p w14:paraId="4591DBA5" w14:textId="2537C11A" w:rsidR="00D60B25" w:rsidRDefault="00A45798" w:rsidP="008A3EBB">
            <w:pPr>
              <w:pStyle w:val="Header"/>
              <w:numPr>
                <w:ilvl w:val="0"/>
                <w:numId w:val="4"/>
              </w:numPr>
              <w:jc w:val="both"/>
            </w:pPr>
            <w:r>
              <w:t>offer</w:t>
            </w:r>
            <w:r w:rsidR="00205D19">
              <w:t>ing</w:t>
            </w:r>
            <w:r>
              <w:t xml:space="preserve"> to a general contracting entity a </w:t>
            </w:r>
            <w:r w:rsidR="006B23C1">
              <w:t xml:space="preserve">written </w:t>
            </w:r>
            <w:r>
              <w:t>contract that includes</w:t>
            </w:r>
            <w:r w:rsidR="00942CA2">
              <w:t xml:space="preserve"> an</w:t>
            </w:r>
            <w:r>
              <w:t xml:space="preserve"> anti-steering, anti-tiering, gag, or most favored nation clause;</w:t>
            </w:r>
          </w:p>
          <w:p w14:paraId="3E80E835" w14:textId="012CAAE4" w:rsidR="00D60B25" w:rsidRDefault="00A45798" w:rsidP="008A3EBB">
            <w:pPr>
              <w:pStyle w:val="Header"/>
              <w:numPr>
                <w:ilvl w:val="0"/>
                <w:numId w:val="5"/>
              </w:numPr>
              <w:jc w:val="both"/>
            </w:pPr>
            <w:r>
              <w:t>enter</w:t>
            </w:r>
            <w:r w:rsidR="00205D19">
              <w:t>ing</w:t>
            </w:r>
            <w:r>
              <w:t xml:space="preserve"> into a contract that includes </w:t>
            </w:r>
            <w:r w:rsidR="00205D19">
              <w:t xml:space="preserve">any such </w:t>
            </w:r>
            <w:r>
              <w:t>clause; or</w:t>
            </w:r>
          </w:p>
          <w:p w14:paraId="0BF6E1EE" w14:textId="5A7E917F" w:rsidR="009C36CD" w:rsidRDefault="00A45798" w:rsidP="008A3EB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>amend</w:t>
            </w:r>
            <w:r w:rsidR="00205D19">
              <w:t>ing</w:t>
            </w:r>
            <w:r>
              <w:t xml:space="preserve"> or renew</w:t>
            </w:r>
            <w:r w:rsidR="00205D19">
              <w:t>ing</w:t>
            </w:r>
            <w:r>
              <w:t xml:space="preserve"> an existing contract previously entered into with a general contracting entity so that the contract as amended or renewed adds or retains </w:t>
            </w:r>
            <w:r w:rsidR="00205D19">
              <w:t>such a</w:t>
            </w:r>
            <w:r>
              <w:t xml:space="preserve"> clause.</w:t>
            </w:r>
          </w:p>
          <w:p w14:paraId="7AE829F6" w14:textId="549EB1BD" w:rsidR="00D60B25" w:rsidRDefault="00A45798" w:rsidP="008A3EB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B50F24">
              <w:t>makes</w:t>
            </w:r>
            <w:r>
              <w:t xml:space="preserve"> a</w:t>
            </w:r>
            <w:r w:rsidRPr="00D60B25">
              <w:t>ny provision in a provider network contract that is an anti-steeri</w:t>
            </w:r>
            <w:r w:rsidRPr="00D60B25">
              <w:t>ng, anti-tiering, gag, or most favored nation clause void and unenforceable</w:t>
            </w:r>
            <w:r>
              <w:t xml:space="preserve"> but </w:t>
            </w:r>
            <w:r w:rsidR="00205D19">
              <w:t xml:space="preserve">specifies that </w:t>
            </w:r>
            <w:r>
              <w:t>t</w:t>
            </w:r>
            <w:r w:rsidRPr="00D60B25">
              <w:t>he remaining provisions in the contract remain in effect and are enforceable.</w:t>
            </w:r>
            <w:r>
              <w:t xml:space="preserve"> </w:t>
            </w:r>
            <w:r w:rsidR="00EA331D">
              <w:t xml:space="preserve">The bill establishes that a </w:t>
            </w:r>
            <w:r w:rsidR="004F5D0F">
              <w:t>health benefit p</w:t>
            </w:r>
            <w:r w:rsidR="00CF5C19">
              <w:t>l</w:t>
            </w:r>
            <w:r w:rsidR="004F5D0F">
              <w:t>an issuer</w:t>
            </w:r>
            <w:r w:rsidR="00EA331D">
              <w:t xml:space="preserve"> </w:t>
            </w:r>
            <w:r w:rsidR="00EA331D" w:rsidRPr="00EA331D">
              <w:t>has a fiduciary duty to the enrollee</w:t>
            </w:r>
            <w:r w:rsidR="00EA331D">
              <w:t xml:space="preserve"> </w:t>
            </w:r>
            <w:r w:rsidR="004F5D0F">
              <w:t xml:space="preserve">or policyholder </w:t>
            </w:r>
            <w:r w:rsidR="00EA331D">
              <w:t xml:space="preserve">to </w:t>
            </w:r>
            <w:r w:rsidR="00F70DC1">
              <w:t>engage in conduct that</w:t>
            </w:r>
            <w:r w:rsidR="00EA331D">
              <w:t xml:space="preserve"> </w:t>
            </w:r>
            <w:r w:rsidR="00EA331D" w:rsidRPr="00EA331D">
              <w:t>encourage</w:t>
            </w:r>
            <w:r w:rsidR="00F70DC1">
              <w:t>s</w:t>
            </w:r>
            <w:r w:rsidR="00EA331D" w:rsidRPr="00EA331D">
              <w:t xml:space="preserve"> an enrollee to obtain a health care service from a particular provider</w:t>
            </w:r>
            <w:r w:rsidR="00EA331D">
              <w:t xml:space="preserve"> </w:t>
            </w:r>
            <w:r w:rsidR="00EA331D" w:rsidRPr="00EA331D">
              <w:t>or that introduces or modifies a tiered network plan or assigns providers into tiers</w:t>
            </w:r>
            <w:r w:rsidR="00F70DC1">
              <w:t xml:space="preserve"> </w:t>
            </w:r>
            <w:r w:rsidR="00CF5C19">
              <w:t xml:space="preserve">only </w:t>
            </w:r>
            <w:r w:rsidR="00F70DC1">
              <w:t>for the</w:t>
            </w:r>
            <w:r w:rsidR="00F70DC1" w:rsidRPr="00EA331D">
              <w:t xml:space="preserve"> primary benefit of the enrollee</w:t>
            </w:r>
            <w:r w:rsidR="00752CD3">
              <w:t xml:space="preserve"> or policyholder</w:t>
            </w:r>
            <w:r w:rsidR="00F70DC1" w:rsidRPr="00EA331D">
              <w:t>.</w:t>
            </w:r>
          </w:p>
          <w:p w14:paraId="48A0CCC4" w14:textId="5BDC63BA" w:rsidR="00F70DC1" w:rsidRDefault="00F70DC1" w:rsidP="008A3EB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0EABF52" w14:textId="34D87432" w:rsidR="00F70DC1" w:rsidRDefault="00A45798" w:rsidP="008A3EB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F5D0F">
              <w:t>C.S.</w:t>
            </w:r>
            <w:r>
              <w:t>H.B. 711 sets out the following terms</w:t>
            </w:r>
            <w:r w:rsidR="00205D19">
              <w:t xml:space="preserve"> </w:t>
            </w:r>
            <w:r w:rsidR="00524FC5">
              <w:t xml:space="preserve">and definitions </w:t>
            </w:r>
            <w:r w:rsidR="00205D19">
              <w:t>with respect to a provider network contract</w:t>
            </w:r>
            <w:r>
              <w:t>:</w:t>
            </w:r>
          </w:p>
          <w:p w14:paraId="243FCF96" w14:textId="7A94C820" w:rsidR="008C7E30" w:rsidRDefault="00A45798" w:rsidP="008A3EBB">
            <w:pPr>
              <w:pStyle w:val="Header"/>
              <w:numPr>
                <w:ilvl w:val="0"/>
                <w:numId w:val="3"/>
              </w:numPr>
              <w:jc w:val="both"/>
            </w:pPr>
            <w:r w:rsidRPr="008C7E30">
              <w:t>"</w:t>
            </w:r>
            <w:r>
              <w:t>a</w:t>
            </w:r>
            <w:r w:rsidRPr="008C7E30">
              <w:t>nti-steering clause"</w:t>
            </w:r>
            <w:r>
              <w:t xml:space="preserve"> </w:t>
            </w:r>
            <w:r w:rsidR="00205D19">
              <w:t>me</w:t>
            </w:r>
            <w:r>
              <w:t>a</w:t>
            </w:r>
            <w:r w:rsidR="00205D19">
              <w:t>n</w:t>
            </w:r>
            <w:r>
              <w:t xml:space="preserve">s </w:t>
            </w:r>
            <w:r w:rsidRPr="008C7E30">
              <w:t>a provision in a contract that restricts the ability of a general contrac</w:t>
            </w:r>
            <w:r w:rsidRPr="008C7E30">
              <w:t>ting entity to encourage an enrollee to obtain a health care service from a competitor of the provider</w:t>
            </w:r>
            <w:r w:rsidR="00616459">
              <w:t xml:space="preserve">, </w:t>
            </w:r>
            <w:r w:rsidR="00616459" w:rsidRPr="00616459">
              <w:t>including offering incentives to encourage enrollees to use specific providers</w:t>
            </w:r>
            <w:r>
              <w:t>;</w:t>
            </w:r>
          </w:p>
          <w:p w14:paraId="246A0093" w14:textId="018F56D7" w:rsidR="008C7E30" w:rsidRDefault="00A45798" w:rsidP="008A3EBB">
            <w:pPr>
              <w:pStyle w:val="Header"/>
              <w:numPr>
                <w:ilvl w:val="0"/>
                <w:numId w:val="2"/>
              </w:numPr>
              <w:jc w:val="both"/>
            </w:pPr>
            <w:r w:rsidRPr="008C7E30">
              <w:t>"</w:t>
            </w:r>
            <w:r>
              <w:t>a</w:t>
            </w:r>
            <w:r w:rsidRPr="008C7E30">
              <w:t>nti-tiering clause"</w:t>
            </w:r>
            <w:r>
              <w:t xml:space="preserve"> </w:t>
            </w:r>
            <w:r w:rsidR="00205D19">
              <w:t>me</w:t>
            </w:r>
            <w:r>
              <w:t>a</w:t>
            </w:r>
            <w:r w:rsidR="00205D19">
              <w:t>n</w:t>
            </w:r>
            <w:r>
              <w:t>s a provision in a contract that restricts the</w:t>
            </w:r>
            <w:r>
              <w:t xml:space="preserve"> ability of a general contracting entity to introduce or modify a tiered network plan or assign providers into tiers or that requires a general contracting entity to place all members of a provider in the same tier of a tiered network plan;</w:t>
            </w:r>
          </w:p>
          <w:p w14:paraId="60B2532C" w14:textId="38CE74E1" w:rsidR="008C7E30" w:rsidRDefault="00A45798" w:rsidP="008A3EB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8C7E30">
              <w:t>"</w:t>
            </w:r>
            <w:r>
              <w:t>g</w:t>
            </w:r>
            <w:r w:rsidRPr="008C7E30">
              <w:t>ag clause"</w:t>
            </w:r>
            <w:r>
              <w:t xml:space="preserve"> </w:t>
            </w:r>
            <w:r w:rsidR="00205D19">
              <w:t>me</w:t>
            </w:r>
            <w:r>
              <w:t>a</w:t>
            </w:r>
            <w:r w:rsidR="00205D19">
              <w:t>n</w:t>
            </w:r>
            <w:r>
              <w:t xml:space="preserve">s a provision in a contract that restricts the ability of a general contracting entity or provider to disclose out-of-pocket costs to an enrollee or price or quality information to a governmental entity as authorized by applicable law or its contractors </w:t>
            </w:r>
            <w:r>
              <w:t>or agents, an enrollee, a treating provider of an enrollee, a plan sponsor, or potential eligible enrollees and plan sponsors;</w:t>
            </w:r>
            <w:r w:rsidR="00405A7C">
              <w:t xml:space="preserve"> a</w:t>
            </w:r>
            <w:r w:rsidR="00205D19">
              <w:t>nd</w:t>
            </w:r>
          </w:p>
          <w:p w14:paraId="14D81D61" w14:textId="41BDF880" w:rsidR="00B50F24" w:rsidRDefault="00A45798" w:rsidP="008A3EBB">
            <w:pPr>
              <w:pStyle w:val="Header"/>
              <w:numPr>
                <w:ilvl w:val="0"/>
                <w:numId w:val="2"/>
              </w:numPr>
              <w:jc w:val="both"/>
            </w:pPr>
            <w:r w:rsidRPr="008C7E30">
              <w:t>"</w:t>
            </w:r>
            <w:r>
              <w:t>m</w:t>
            </w:r>
            <w:r w:rsidRPr="008C7E30">
              <w:t>ost favored nation clause"</w:t>
            </w:r>
            <w:r>
              <w:t xml:space="preserve"> </w:t>
            </w:r>
            <w:r w:rsidR="00205D19">
              <w:t>me</w:t>
            </w:r>
            <w:r>
              <w:t>a</w:t>
            </w:r>
            <w:r w:rsidR="00205D19">
              <w:t>n</w:t>
            </w:r>
            <w:r>
              <w:t>s a provision in a contract that</w:t>
            </w:r>
            <w:r w:rsidR="00405A7C">
              <w:t xml:space="preserve"> does any of the following</w:t>
            </w:r>
            <w:r>
              <w:t>:</w:t>
            </w:r>
          </w:p>
          <w:p w14:paraId="79BA8813" w14:textId="4A205FB9" w:rsidR="008C7E30" w:rsidRDefault="00A45798" w:rsidP="008A3EBB">
            <w:pPr>
              <w:pStyle w:val="Header"/>
              <w:numPr>
                <w:ilvl w:val="1"/>
                <w:numId w:val="2"/>
              </w:numPr>
              <w:jc w:val="both"/>
            </w:pPr>
            <w:r>
              <w:t xml:space="preserve">prohibits or grants an </w:t>
            </w:r>
            <w:r>
              <w:t>option to prohibit a provider from contracting with another general contracting entity to provide health care services at a lower rate or a general contracting entity from contracting with another provider to provide health care services at a higher rate;</w:t>
            </w:r>
          </w:p>
          <w:p w14:paraId="5705234F" w14:textId="45EEC125" w:rsidR="00B50F24" w:rsidRDefault="00A45798" w:rsidP="008A3EBB">
            <w:pPr>
              <w:pStyle w:val="Header"/>
              <w:numPr>
                <w:ilvl w:val="1"/>
                <w:numId w:val="2"/>
              </w:numPr>
              <w:jc w:val="both"/>
            </w:pPr>
            <w:r>
              <w:t>requires or grants an option to require a provider to accept a lower rate for health care services if the provider agrees with another general contracting entity to accept a lower rate for the services or a general contracting entity to pay a higher rate f</w:t>
            </w:r>
            <w:r>
              <w:t>or health care services if the entity agrees with another provider to pay a higher rate for the services;</w:t>
            </w:r>
          </w:p>
          <w:p w14:paraId="73748FEA" w14:textId="25D2A23C" w:rsidR="00B50F24" w:rsidRDefault="00A45798" w:rsidP="008A3EBB">
            <w:pPr>
              <w:pStyle w:val="Header"/>
              <w:numPr>
                <w:ilvl w:val="1"/>
                <w:numId w:val="2"/>
              </w:numPr>
              <w:jc w:val="both"/>
            </w:pPr>
            <w:r>
              <w:t>requires or grants an option to require termination or renegotiation of an existing provider network contract if a provider agrees with another genera</w:t>
            </w:r>
            <w:r>
              <w:t>l contracting entity to accept a lower rate for providing health care services or a general contracting entity agrees with a provider to pay a higher rate for health care services; or</w:t>
            </w:r>
          </w:p>
          <w:p w14:paraId="1CA69098" w14:textId="1B18B335" w:rsidR="00B50F24" w:rsidRDefault="00A45798" w:rsidP="008A3EBB">
            <w:pPr>
              <w:pStyle w:val="Header"/>
              <w:numPr>
                <w:ilvl w:val="1"/>
                <w:numId w:val="2"/>
              </w:numPr>
              <w:jc w:val="both"/>
            </w:pPr>
            <w:r>
              <w:t xml:space="preserve">requires a provider to disclose </w:t>
            </w:r>
            <w:r w:rsidR="00405A7C">
              <w:t>its</w:t>
            </w:r>
            <w:r>
              <w:t xml:space="preserve"> contractual reimbursement rates with</w:t>
            </w:r>
            <w:r>
              <w:t xml:space="preserve"> other general contracting entities or a general contracting entity to disclose </w:t>
            </w:r>
            <w:r w:rsidR="00405A7C">
              <w:t xml:space="preserve">its </w:t>
            </w:r>
            <w:r>
              <w:t>contractual reimbursement rates with other providers.</w:t>
            </w:r>
          </w:p>
          <w:p w14:paraId="7F07FE7D" w14:textId="7747F941" w:rsidR="00405A7C" w:rsidRPr="009C36CD" w:rsidRDefault="00A45798" w:rsidP="008A3EBB">
            <w:pPr>
              <w:pStyle w:val="Header"/>
              <w:jc w:val="both"/>
            </w:pPr>
            <w:r>
              <w:t xml:space="preserve">The bill defines </w:t>
            </w:r>
            <w:r w:rsidRPr="008C7E30">
              <w:t>"</w:t>
            </w:r>
            <w:r>
              <w:t>g</w:t>
            </w:r>
            <w:r w:rsidRPr="008C7E30">
              <w:t>eneral contracting entity"</w:t>
            </w:r>
            <w:r>
              <w:t xml:space="preserve"> as a </w:t>
            </w:r>
            <w:r w:rsidRPr="00B50F24">
              <w:t>person who enters into a direct contract with a provider for the de</w:t>
            </w:r>
            <w:r w:rsidRPr="00B50F24">
              <w:t>livery of health care services to covered individuals regardless of whether the person, in the ordinary course of business, establishes a provider network for access by another party</w:t>
            </w:r>
            <w:r w:rsidR="00942CA2">
              <w:t>.</w:t>
            </w:r>
            <w:r w:rsidR="00245C4E">
              <w:t xml:space="preserve"> </w:t>
            </w:r>
            <w:r w:rsidR="00942CA2">
              <w:t>The</w:t>
            </w:r>
            <w:r w:rsidR="00752CD3">
              <w:t xml:space="preserve"> </w:t>
            </w:r>
            <w:r w:rsidR="00752CD3" w:rsidRPr="00752CD3">
              <w:t>term does not include a health care provider or facility unless the provider or facility is entering into the contract in the provider's or facility's role as a health benefit plan</w:t>
            </w:r>
            <w:r>
              <w:t>.</w:t>
            </w:r>
          </w:p>
          <w:p w14:paraId="19461BC3" w14:textId="77777777" w:rsidR="008423E4" w:rsidRPr="00835628" w:rsidRDefault="008423E4" w:rsidP="008A3EBB">
            <w:pPr>
              <w:rPr>
                <w:b/>
              </w:rPr>
            </w:pPr>
          </w:p>
        </w:tc>
      </w:tr>
      <w:tr w:rsidR="00D2569A" w14:paraId="10695547" w14:textId="77777777">
        <w:tc>
          <w:tcPr>
            <w:tcW w:w="9576" w:type="dxa"/>
          </w:tcPr>
          <w:p w14:paraId="75D9701B" w14:textId="77777777" w:rsidR="008423E4" w:rsidRPr="00A8133F" w:rsidRDefault="00A45798" w:rsidP="008A3EB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1AEB485" w14:textId="77777777" w:rsidR="008423E4" w:rsidRDefault="008423E4" w:rsidP="008A3EBB"/>
          <w:p w14:paraId="16501DC6" w14:textId="1629EFFF" w:rsidR="008423E4" w:rsidRPr="003624F2" w:rsidRDefault="00A45798" w:rsidP="008A3EB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1A92E509" w14:textId="77777777" w:rsidR="008423E4" w:rsidRPr="00233FDB" w:rsidRDefault="008423E4" w:rsidP="008A3EBB">
            <w:pPr>
              <w:rPr>
                <w:b/>
              </w:rPr>
            </w:pPr>
          </w:p>
        </w:tc>
      </w:tr>
      <w:tr w:rsidR="00D2569A" w14:paraId="459CC384" w14:textId="77777777">
        <w:tc>
          <w:tcPr>
            <w:tcW w:w="9576" w:type="dxa"/>
          </w:tcPr>
          <w:p w14:paraId="3CE08BAC" w14:textId="77777777" w:rsidR="00A41EFE" w:rsidRDefault="00A45798" w:rsidP="008A3EB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</w:t>
            </w:r>
            <w:r>
              <w:rPr>
                <w:b/>
                <w:u w:val="single"/>
              </w:rPr>
              <w:t>ND SUBSTITUTE</w:t>
            </w:r>
          </w:p>
          <w:p w14:paraId="4249BA39" w14:textId="77777777" w:rsidR="006B23C1" w:rsidRDefault="006B23C1" w:rsidP="008A3EBB">
            <w:pPr>
              <w:jc w:val="both"/>
            </w:pPr>
          </w:p>
          <w:p w14:paraId="6166E557" w14:textId="072FA665" w:rsidR="006B23C1" w:rsidRDefault="00A45798" w:rsidP="008A3EBB">
            <w:pPr>
              <w:jc w:val="both"/>
            </w:pPr>
            <w:r>
              <w:t>While C.S.H.B. 711 may differ from the introduced in minor or nonsubstantive ways, the following summarizes the substantial differences between the introduced and committee substitute versions of the bill.</w:t>
            </w:r>
          </w:p>
          <w:p w14:paraId="4A0F3566" w14:textId="66BB9713" w:rsidR="006B23C1" w:rsidRDefault="006B23C1" w:rsidP="008A3EBB">
            <w:pPr>
              <w:jc w:val="both"/>
            </w:pPr>
          </w:p>
          <w:p w14:paraId="459FA1AC" w14:textId="3831F6AE" w:rsidR="006B23C1" w:rsidRDefault="00A45798" w:rsidP="008A3EBB">
            <w:pPr>
              <w:jc w:val="both"/>
            </w:pPr>
            <w:r>
              <w:t>Whereas t</w:t>
            </w:r>
            <w:r w:rsidRPr="006B23C1">
              <w:t xml:space="preserve">he </w:t>
            </w:r>
            <w:r>
              <w:t xml:space="preserve">introduced </w:t>
            </w:r>
            <w:r>
              <w:t>included</w:t>
            </w:r>
            <w:r w:rsidRPr="006B23C1">
              <w:t xml:space="preserve"> </w:t>
            </w:r>
            <w:r>
              <w:t xml:space="preserve">an </w:t>
            </w:r>
            <w:r w:rsidRPr="006B23C1">
              <w:t>all-or-nothing clause</w:t>
            </w:r>
            <w:r>
              <w:t xml:space="preserve"> among the prohibited contract clauses, the substitute does not. The substitute also includes a clarification absent from</w:t>
            </w:r>
            <w:r w:rsidRPr="006B23C1">
              <w:t xml:space="preserve"> the introduced</w:t>
            </w:r>
            <w:r>
              <w:t xml:space="preserve"> that the prohibition against offering </w:t>
            </w:r>
            <w:r w:rsidR="00E260F3">
              <w:t xml:space="preserve">a </w:t>
            </w:r>
            <w:r w:rsidR="0091264A">
              <w:t xml:space="preserve">general contracting entity </w:t>
            </w:r>
            <w:r>
              <w:t xml:space="preserve">a provider network </w:t>
            </w:r>
            <w:r>
              <w:t>contract with any of the prohibited clauses applies with respect to a written contract</w:t>
            </w:r>
            <w:r w:rsidRPr="006B23C1">
              <w:t>.</w:t>
            </w:r>
          </w:p>
          <w:p w14:paraId="04EA96E5" w14:textId="3B720D5D" w:rsidR="00113F7D" w:rsidRDefault="00113F7D" w:rsidP="008A3EBB">
            <w:pPr>
              <w:jc w:val="both"/>
            </w:pPr>
          </w:p>
          <w:p w14:paraId="21778DA4" w14:textId="3C70DD16" w:rsidR="00113F7D" w:rsidRDefault="00A45798" w:rsidP="008A3EBB">
            <w:pPr>
              <w:jc w:val="both"/>
            </w:pPr>
            <w:r w:rsidRPr="00113F7D">
              <w:t>The substitute includes a provision</w:t>
            </w:r>
            <w:r>
              <w:t xml:space="preserve"> </w:t>
            </w:r>
            <w:r w:rsidRPr="00113F7D">
              <w:t>absent from the introduce</w:t>
            </w:r>
            <w:r>
              <w:t xml:space="preserve">d excluding from the definition of </w:t>
            </w:r>
            <w:r w:rsidR="00460D7C">
              <w:t>"</w:t>
            </w:r>
            <w:r>
              <w:t>general contracting entity</w:t>
            </w:r>
            <w:r w:rsidR="00460D7C">
              <w:t>"</w:t>
            </w:r>
            <w:r>
              <w:t xml:space="preserve"> </w:t>
            </w:r>
            <w:r w:rsidRPr="00113F7D">
              <w:t xml:space="preserve">a health care provider or facility unless </w:t>
            </w:r>
            <w:r w:rsidRPr="00113F7D">
              <w:t>the provider or facility is entering into the contract in the provider's or facility's role as a health benefit plan.</w:t>
            </w:r>
          </w:p>
          <w:p w14:paraId="2B2A224C" w14:textId="69C7F786" w:rsidR="00113F7D" w:rsidRDefault="00113F7D" w:rsidP="008A3EBB">
            <w:pPr>
              <w:jc w:val="both"/>
            </w:pPr>
          </w:p>
          <w:p w14:paraId="376FBE80" w14:textId="3BD93430" w:rsidR="00113F7D" w:rsidRDefault="00A45798" w:rsidP="008A3EBB">
            <w:pPr>
              <w:keepNext/>
              <w:jc w:val="both"/>
            </w:pPr>
            <w:r>
              <w:t>The introduced</w:t>
            </w:r>
            <w:r w:rsidR="00B27F85">
              <w:t xml:space="preserve"> included a provision</w:t>
            </w:r>
            <w:r>
              <w:t xml:space="preserve"> establish</w:t>
            </w:r>
            <w:r w:rsidR="00B27F85">
              <w:t>ing</w:t>
            </w:r>
            <w:r>
              <w:t xml:space="preserve"> that a general contracting entity that encourages an </w:t>
            </w:r>
            <w:r w:rsidR="00B27F85">
              <w:t>enrollee</w:t>
            </w:r>
            <w:r>
              <w:t xml:space="preserve"> to obtain a health care se</w:t>
            </w:r>
            <w:r>
              <w:t xml:space="preserve">rvice from a particular provider or that introduces </w:t>
            </w:r>
            <w:r w:rsidR="00B27F85" w:rsidRPr="00B27F85">
              <w:t>or modifies a tiered network plan or assigns providers into tiers</w:t>
            </w:r>
            <w:r w:rsidRPr="00113F7D">
              <w:t xml:space="preserve"> </w:t>
            </w:r>
            <w:r w:rsidR="00B27F85">
              <w:t xml:space="preserve">has </w:t>
            </w:r>
            <w:r w:rsidR="0063779C" w:rsidRPr="0063779C">
              <w:t>a fiduciary duty</w:t>
            </w:r>
            <w:r w:rsidR="0063779C">
              <w:t xml:space="preserve"> to engage in conduct only for the primary benefit of the enrollee</w:t>
            </w:r>
            <w:r w:rsidR="00B27F85">
              <w:t>.</w:t>
            </w:r>
            <w:r w:rsidR="0063779C" w:rsidRPr="0063779C">
              <w:t xml:space="preserve"> </w:t>
            </w:r>
            <w:r w:rsidR="00B27F85">
              <w:t xml:space="preserve">The substitute makes this provision applicable instead to a health benefit plan issuer and makes the established fiduciary duty to </w:t>
            </w:r>
            <w:r w:rsidR="0025796B">
              <w:t>both</w:t>
            </w:r>
            <w:r w:rsidR="00B27F85">
              <w:t xml:space="preserve"> enrollee</w:t>
            </w:r>
            <w:r w:rsidR="0025796B">
              <w:t>s</w:t>
            </w:r>
            <w:r w:rsidR="00B27F85">
              <w:t xml:space="preserve"> </w:t>
            </w:r>
            <w:r w:rsidR="0025796B">
              <w:t>and</w:t>
            </w:r>
            <w:r w:rsidR="00B27F85">
              <w:t xml:space="preserve"> policyholder</w:t>
            </w:r>
            <w:r w:rsidR="0025796B">
              <w:t>s</w:t>
            </w:r>
            <w:r w:rsidR="0063779C" w:rsidRPr="0063779C">
              <w:t xml:space="preserve">. </w:t>
            </w:r>
          </w:p>
          <w:p w14:paraId="06ECCDB8" w14:textId="43792142" w:rsidR="006B23C1" w:rsidRPr="006B23C1" w:rsidRDefault="006B23C1" w:rsidP="008A3EBB">
            <w:pPr>
              <w:jc w:val="both"/>
            </w:pPr>
          </w:p>
        </w:tc>
      </w:tr>
      <w:tr w:rsidR="00D2569A" w14:paraId="68FC938E" w14:textId="77777777">
        <w:tc>
          <w:tcPr>
            <w:tcW w:w="9576" w:type="dxa"/>
          </w:tcPr>
          <w:p w14:paraId="2EBB7823" w14:textId="77777777" w:rsidR="00A41EFE" w:rsidRPr="009C1E9A" w:rsidRDefault="00A41EFE" w:rsidP="008A3EBB">
            <w:pPr>
              <w:rPr>
                <w:b/>
                <w:u w:val="single"/>
              </w:rPr>
            </w:pPr>
          </w:p>
        </w:tc>
      </w:tr>
      <w:tr w:rsidR="00D2569A" w14:paraId="7DB85FE6" w14:textId="77777777">
        <w:tc>
          <w:tcPr>
            <w:tcW w:w="9576" w:type="dxa"/>
          </w:tcPr>
          <w:p w14:paraId="1E13EEAF" w14:textId="77777777" w:rsidR="00A41EFE" w:rsidRPr="00A41EFE" w:rsidRDefault="00A41EFE" w:rsidP="008A3EBB">
            <w:pPr>
              <w:jc w:val="both"/>
            </w:pPr>
          </w:p>
        </w:tc>
      </w:tr>
    </w:tbl>
    <w:p w14:paraId="33F93174" w14:textId="77777777" w:rsidR="008423E4" w:rsidRPr="00BE0E75" w:rsidRDefault="008423E4" w:rsidP="008A3EBB">
      <w:pPr>
        <w:jc w:val="both"/>
        <w:rPr>
          <w:rFonts w:ascii="Arial" w:hAnsi="Arial"/>
          <w:sz w:val="16"/>
          <w:szCs w:val="16"/>
        </w:rPr>
      </w:pPr>
    </w:p>
    <w:p w14:paraId="79EAEC81" w14:textId="77777777" w:rsidR="004108C3" w:rsidRPr="008423E4" w:rsidRDefault="004108C3" w:rsidP="008A3EB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CE2BE" w14:textId="77777777" w:rsidR="00000000" w:rsidRDefault="00A45798">
      <w:r>
        <w:separator/>
      </w:r>
    </w:p>
  </w:endnote>
  <w:endnote w:type="continuationSeparator" w:id="0">
    <w:p w14:paraId="52929324" w14:textId="77777777" w:rsidR="00000000" w:rsidRDefault="00A4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EF1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2569A" w14:paraId="1E59BD04" w14:textId="77777777" w:rsidTr="009C1E9A">
      <w:trPr>
        <w:cantSplit/>
      </w:trPr>
      <w:tc>
        <w:tcPr>
          <w:tcW w:w="0" w:type="pct"/>
        </w:tcPr>
        <w:p w14:paraId="5327485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50FE12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D3CF53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699638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58D073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2569A" w14:paraId="6A27412C" w14:textId="77777777" w:rsidTr="009C1E9A">
      <w:trPr>
        <w:cantSplit/>
      </w:trPr>
      <w:tc>
        <w:tcPr>
          <w:tcW w:w="0" w:type="pct"/>
        </w:tcPr>
        <w:p w14:paraId="73B5109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44ACF19" w14:textId="6CC1D89A" w:rsidR="00EC379B" w:rsidRPr="009C1E9A" w:rsidRDefault="00A4579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21399-D</w:t>
          </w:r>
        </w:p>
      </w:tc>
      <w:tc>
        <w:tcPr>
          <w:tcW w:w="2453" w:type="pct"/>
        </w:tcPr>
        <w:p w14:paraId="44F79BF8" w14:textId="23CC39B3" w:rsidR="00EC379B" w:rsidRDefault="00A4579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B4E88">
            <w:t>23.90.298</w:t>
          </w:r>
          <w:r>
            <w:fldChar w:fldCharType="end"/>
          </w:r>
        </w:p>
      </w:tc>
    </w:tr>
    <w:tr w:rsidR="00D2569A" w14:paraId="0B714F72" w14:textId="77777777" w:rsidTr="009C1E9A">
      <w:trPr>
        <w:cantSplit/>
      </w:trPr>
      <w:tc>
        <w:tcPr>
          <w:tcW w:w="0" w:type="pct"/>
        </w:tcPr>
        <w:p w14:paraId="7EFC2B2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B101571" w14:textId="2675D917" w:rsidR="00EC379B" w:rsidRPr="009C1E9A" w:rsidRDefault="00A4579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11397</w:t>
          </w:r>
        </w:p>
      </w:tc>
      <w:tc>
        <w:tcPr>
          <w:tcW w:w="2453" w:type="pct"/>
        </w:tcPr>
        <w:p w14:paraId="2313523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745CA5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2569A" w14:paraId="16D5D6A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5016CFB" w14:textId="77777777" w:rsidR="00EC379B" w:rsidRDefault="00A4579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2BEA53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4986ED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F62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61A20" w14:textId="77777777" w:rsidR="00000000" w:rsidRDefault="00A45798">
      <w:r>
        <w:separator/>
      </w:r>
    </w:p>
  </w:footnote>
  <w:footnote w:type="continuationSeparator" w:id="0">
    <w:p w14:paraId="2F510E1B" w14:textId="77777777" w:rsidR="00000000" w:rsidRDefault="00A45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685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4C0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E87C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7408"/>
    <w:multiLevelType w:val="hybridMultilevel"/>
    <w:tmpl w:val="3FD05E58"/>
    <w:lvl w:ilvl="0" w:tplc="183C1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8E2E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D26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221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E99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A98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A60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2B3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C63E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7AFC"/>
    <w:multiLevelType w:val="hybridMultilevel"/>
    <w:tmpl w:val="B204F4D6"/>
    <w:lvl w:ilvl="0" w:tplc="1764B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F221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A0D6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2AB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BAD5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9AF5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A45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C1F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ECA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B530B"/>
    <w:multiLevelType w:val="hybridMultilevel"/>
    <w:tmpl w:val="09100AE8"/>
    <w:lvl w:ilvl="0" w:tplc="C70A80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B88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6E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AB4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88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0A35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1C4D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2B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40D6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B58B0"/>
    <w:multiLevelType w:val="hybridMultilevel"/>
    <w:tmpl w:val="231A17A2"/>
    <w:lvl w:ilvl="0" w:tplc="6CA8E1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B4C5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9884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EFB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E0B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006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875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2FD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D24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30244"/>
    <w:multiLevelType w:val="hybridMultilevel"/>
    <w:tmpl w:val="549417C6"/>
    <w:lvl w:ilvl="0" w:tplc="CAE89AF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9B6AAB6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30E1CD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BF6A2D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8F4D9B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B0E105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8910A95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34EB94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C4EB2A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B037B03"/>
    <w:multiLevelType w:val="hybridMultilevel"/>
    <w:tmpl w:val="CE089A3E"/>
    <w:lvl w:ilvl="0" w:tplc="EB001F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4246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F448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2D7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E62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96A6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E9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88AA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A4C2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740284">
    <w:abstractNumId w:val="4"/>
  </w:num>
  <w:num w:numId="2" w16cid:durableId="666251160">
    <w:abstractNumId w:val="5"/>
  </w:num>
  <w:num w:numId="3" w16cid:durableId="2005626517">
    <w:abstractNumId w:val="0"/>
  </w:num>
  <w:num w:numId="4" w16cid:durableId="491798503">
    <w:abstractNumId w:val="1"/>
  </w:num>
  <w:num w:numId="5" w16cid:durableId="1633754359">
    <w:abstractNumId w:val="2"/>
  </w:num>
  <w:num w:numId="6" w16cid:durableId="1400405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E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917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2024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3F7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6333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722E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5D19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5C4E"/>
    <w:rsid w:val="0024691D"/>
    <w:rsid w:val="00247D27"/>
    <w:rsid w:val="00250A50"/>
    <w:rsid w:val="00251ED5"/>
    <w:rsid w:val="00255EB6"/>
    <w:rsid w:val="00257429"/>
    <w:rsid w:val="0025796B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5BE3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37E0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2F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5A7C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93"/>
    <w:rsid w:val="004241AA"/>
    <w:rsid w:val="0042422E"/>
    <w:rsid w:val="00426C5C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0D7C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5D0F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359A"/>
    <w:rsid w:val="00524FC5"/>
    <w:rsid w:val="005269B9"/>
    <w:rsid w:val="005269CE"/>
    <w:rsid w:val="00526CF2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1225"/>
    <w:rsid w:val="00571EAB"/>
    <w:rsid w:val="00573401"/>
    <w:rsid w:val="00574D2C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6D3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6459"/>
    <w:rsid w:val="00617411"/>
    <w:rsid w:val="00622F3D"/>
    <w:rsid w:val="006249CB"/>
    <w:rsid w:val="006272DD"/>
    <w:rsid w:val="00630963"/>
    <w:rsid w:val="00631897"/>
    <w:rsid w:val="00632928"/>
    <w:rsid w:val="006330DA"/>
    <w:rsid w:val="00633262"/>
    <w:rsid w:val="00633460"/>
    <w:rsid w:val="0063779C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2EE1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C1"/>
    <w:rsid w:val="006B23D8"/>
    <w:rsid w:val="006B28D5"/>
    <w:rsid w:val="006B2A01"/>
    <w:rsid w:val="006B2B8C"/>
    <w:rsid w:val="006B2C17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2CD3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EBB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7E3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264A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2CA2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1EFE"/>
    <w:rsid w:val="00A425FA"/>
    <w:rsid w:val="00A43960"/>
    <w:rsid w:val="00A45798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27F85"/>
    <w:rsid w:val="00B30647"/>
    <w:rsid w:val="00B31F0E"/>
    <w:rsid w:val="00B34F25"/>
    <w:rsid w:val="00B43672"/>
    <w:rsid w:val="00B473D8"/>
    <w:rsid w:val="00B50F2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05E0"/>
    <w:rsid w:val="00B7067F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5FCD"/>
    <w:rsid w:val="00B96E87"/>
    <w:rsid w:val="00BA146A"/>
    <w:rsid w:val="00BA32EE"/>
    <w:rsid w:val="00BB2DDB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06C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4974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5C19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569A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0B25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4E28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384"/>
    <w:rsid w:val="00E15F90"/>
    <w:rsid w:val="00E16D3E"/>
    <w:rsid w:val="00E17167"/>
    <w:rsid w:val="00E20520"/>
    <w:rsid w:val="00E21D55"/>
    <w:rsid w:val="00E21FDC"/>
    <w:rsid w:val="00E2551E"/>
    <w:rsid w:val="00E260F3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31D"/>
    <w:rsid w:val="00EA385A"/>
    <w:rsid w:val="00EA3931"/>
    <w:rsid w:val="00EA658E"/>
    <w:rsid w:val="00EA7A88"/>
    <w:rsid w:val="00EB27F2"/>
    <w:rsid w:val="00EB3928"/>
    <w:rsid w:val="00EB4E8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DC1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5D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276239-09FE-4777-A34C-40EAEF07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72EE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2E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2EE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2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2EE1"/>
    <w:rPr>
      <w:b/>
      <w:bCs/>
    </w:rPr>
  </w:style>
  <w:style w:type="paragraph" w:styleId="Revision">
    <w:name w:val="Revision"/>
    <w:hidden/>
    <w:uiPriority w:val="99"/>
    <w:semiHidden/>
    <w:rsid w:val="00524FC5"/>
    <w:rPr>
      <w:sz w:val="24"/>
      <w:szCs w:val="24"/>
    </w:rPr>
  </w:style>
  <w:style w:type="character" w:styleId="Hyperlink">
    <w:name w:val="Hyperlink"/>
    <w:basedOn w:val="DefaultParagraphFont"/>
    <w:unhideWhenUsed/>
    <w:rsid w:val="0013633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63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F5C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1082</Words>
  <Characters>5860</Characters>
  <Application>Microsoft Office Word</Application>
  <DocSecurity>4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HB00711 (Committee Report (Substituted))</vt:lpstr>
    </vt:vector>
  </TitlesOfParts>
  <Company>State of Texas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21399</dc:subject>
  <dc:creator>State of Texas</dc:creator>
  <cp:lastModifiedBy>Stacey Nicchio</cp:lastModifiedBy>
  <cp:revision>2</cp:revision>
  <cp:lastPrinted>2003-11-26T17:21:00Z</cp:lastPrinted>
  <dcterms:created xsi:type="dcterms:W3CDTF">2023-04-04T16:01:00Z</dcterms:created>
  <dcterms:modified xsi:type="dcterms:W3CDTF">2023-04-04T16:01:00Z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23.90.298</vt:lpwstr>
  </property>
</Properties>
</file>