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9467A" w14:paraId="4EBD8CA1" w14:textId="77777777" w:rsidTr="00345119">
        <w:tc>
          <w:tcPr>
            <w:tcW w:w="9576" w:type="dxa"/>
            <w:noWrap/>
          </w:tcPr>
          <w:p w14:paraId="4031BA1C" w14:textId="77777777" w:rsidR="008423E4" w:rsidRPr="0022177D" w:rsidRDefault="00795CC3" w:rsidP="004C32DA">
            <w:pPr>
              <w:pStyle w:val="Heading1"/>
            </w:pPr>
            <w:r w:rsidRPr="00631897">
              <w:t>BILL ANALYSIS</w:t>
            </w:r>
          </w:p>
        </w:tc>
      </w:tr>
    </w:tbl>
    <w:p w14:paraId="58C8C8C4" w14:textId="77777777" w:rsidR="008423E4" w:rsidRPr="0022177D" w:rsidRDefault="008423E4" w:rsidP="004C32DA">
      <w:pPr>
        <w:jc w:val="center"/>
      </w:pPr>
    </w:p>
    <w:p w14:paraId="29CADD99" w14:textId="77777777" w:rsidR="008423E4" w:rsidRPr="00B31F0E" w:rsidRDefault="008423E4" w:rsidP="004C32DA"/>
    <w:p w14:paraId="66A3FA9D" w14:textId="77777777" w:rsidR="008423E4" w:rsidRPr="00742794" w:rsidRDefault="008423E4" w:rsidP="004C32D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9467A" w14:paraId="0F4ECF7E" w14:textId="77777777" w:rsidTr="00345119">
        <w:tc>
          <w:tcPr>
            <w:tcW w:w="9576" w:type="dxa"/>
          </w:tcPr>
          <w:p w14:paraId="3BD2568A" w14:textId="7BF5CBF1" w:rsidR="008423E4" w:rsidRPr="00861995" w:rsidRDefault="00795CC3" w:rsidP="004C32DA">
            <w:pPr>
              <w:jc w:val="right"/>
            </w:pPr>
            <w:r>
              <w:t>C.S.H.B. 755</w:t>
            </w:r>
          </w:p>
        </w:tc>
      </w:tr>
      <w:tr w:rsidR="0049467A" w14:paraId="498C5A7E" w14:textId="77777777" w:rsidTr="00345119">
        <w:tc>
          <w:tcPr>
            <w:tcW w:w="9576" w:type="dxa"/>
          </w:tcPr>
          <w:p w14:paraId="5D7AC2B4" w14:textId="2CA0897F" w:rsidR="008423E4" w:rsidRPr="00861995" w:rsidRDefault="00795CC3" w:rsidP="004C32DA">
            <w:pPr>
              <w:jc w:val="right"/>
            </w:pPr>
            <w:r>
              <w:t xml:space="preserve">By: </w:t>
            </w:r>
            <w:r w:rsidR="007E70CD">
              <w:t>Johnson, Julie</w:t>
            </w:r>
          </w:p>
        </w:tc>
      </w:tr>
      <w:tr w:rsidR="0049467A" w14:paraId="2EB5F5D9" w14:textId="77777777" w:rsidTr="00345119">
        <w:tc>
          <w:tcPr>
            <w:tcW w:w="9576" w:type="dxa"/>
          </w:tcPr>
          <w:p w14:paraId="28786B37" w14:textId="5520DB25" w:rsidR="008423E4" w:rsidRPr="00861995" w:rsidRDefault="00795CC3" w:rsidP="004C32DA">
            <w:pPr>
              <w:jc w:val="right"/>
            </w:pPr>
            <w:r>
              <w:t>Insurance</w:t>
            </w:r>
          </w:p>
        </w:tc>
      </w:tr>
      <w:tr w:rsidR="0049467A" w14:paraId="0107012F" w14:textId="77777777" w:rsidTr="00345119">
        <w:tc>
          <w:tcPr>
            <w:tcW w:w="9576" w:type="dxa"/>
          </w:tcPr>
          <w:p w14:paraId="15A549A5" w14:textId="517044B8" w:rsidR="008423E4" w:rsidRDefault="00795CC3" w:rsidP="004C32DA">
            <w:pPr>
              <w:jc w:val="right"/>
            </w:pPr>
            <w:r>
              <w:t>Committee Report (Substituted)</w:t>
            </w:r>
          </w:p>
        </w:tc>
      </w:tr>
    </w:tbl>
    <w:p w14:paraId="04C50B12" w14:textId="77777777" w:rsidR="008423E4" w:rsidRDefault="008423E4" w:rsidP="004C32DA">
      <w:pPr>
        <w:tabs>
          <w:tab w:val="right" w:pos="9360"/>
        </w:tabs>
      </w:pPr>
    </w:p>
    <w:p w14:paraId="16465E5A" w14:textId="77777777" w:rsidR="008423E4" w:rsidRDefault="008423E4" w:rsidP="004C32DA"/>
    <w:p w14:paraId="249E5322" w14:textId="77777777" w:rsidR="008423E4" w:rsidRDefault="008423E4" w:rsidP="004C32D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9467A" w14:paraId="51AB335B" w14:textId="77777777" w:rsidTr="00556737">
        <w:tc>
          <w:tcPr>
            <w:tcW w:w="9360" w:type="dxa"/>
          </w:tcPr>
          <w:p w14:paraId="68E80EE8" w14:textId="77777777" w:rsidR="008423E4" w:rsidRPr="00A8133F" w:rsidRDefault="00795CC3" w:rsidP="004C32D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990B83E" w14:textId="77777777" w:rsidR="008423E4" w:rsidRDefault="008423E4" w:rsidP="004C32DA"/>
          <w:p w14:paraId="6C8FED89" w14:textId="5A3D3984" w:rsidR="0020229B" w:rsidRDefault="00795CC3" w:rsidP="004C32DA">
            <w:pPr>
              <w:pStyle w:val="Header"/>
              <w:jc w:val="both"/>
            </w:pPr>
            <w:r>
              <w:t xml:space="preserve">Health plans utilize prior authorizations to require a physician to obtain approval of the medical necessity and appropriateness of a health care service before it is provided. This process can lead to a delay of much-needed care and, at times, may result </w:t>
            </w:r>
            <w:r>
              <w:t xml:space="preserve">in a denial of </w:t>
            </w:r>
            <w:r w:rsidR="00AA7219">
              <w:t>a particular course of treatment</w:t>
            </w:r>
            <w:r>
              <w:t xml:space="preserve"> altogether. Prior authorizations are being used to slow or even stop the use of high</w:t>
            </w:r>
            <w:r w:rsidR="00F801B4">
              <w:noBreakHyphen/>
            </w:r>
            <w:r>
              <w:t xml:space="preserve">cost medications, particularly for patients with </w:t>
            </w:r>
            <w:r w:rsidR="00343BE5">
              <w:t xml:space="preserve">an </w:t>
            </w:r>
            <w:r>
              <w:t>autoimmune disease</w:t>
            </w:r>
            <w:r w:rsidR="00343BE5">
              <w:t>, hemophilia, or Von Willebrand disease</w:t>
            </w:r>
            <w:r>
              <w:t>. In some inst</w:t>
            </w:r>
            <w:r>
              <w:t>ances, patients have</w:t>
            </w:r>
            <w:r w:rsidR="00AA7219">
              <w:t xml:space="preserve"> reported</w:t>
            </w:r>
            <w:r>
              <w:t xml:space="preserve"> ha</w:t>
            </w:r>
            <w:r w:rsidR="00AA7219">
              <w:t>ving</w:t>
            </w:r>
            <w:r>
              <w:t xml:space="preserve"> to undergo the prior authorization process every time they need to refill their medication</w:t>
            </w:r>
            <w:r w:rsidR="00AA7219">
              <w:t xml:space="preserve"> </w:t>
            </w:r>
            <w:r>
              <w:t>even though their disease requires consistent, lifelong treatment. This current structure has led to patients running out of</w:t>
            </w:r>
            <w:r w:rsidR="00AA7219">
              <w:t xml:space="preserve"> their medication</w:t>
            </w:r>
            <w:r>
              <w:t xml:space="preserve"> while waiting for the prior authorization </w:t>
            </w:r>
            <w:r w:rsidR="00AA7219">
              <w:t xml:space="preserve">request </w:t>
            </w:r>
            <w:r>
              <w:t xml:space="preserve">to be approved, </w:t>
            </w:r>
            <w:r w:rsidR="00AA7219">
              <w:t xml:space="preserve">thus </w:t>
            </w:r>
            <w:r>
              <w:t>disrupting treatment and causing increased health risks</w:t>
            </w:r>
            <w:r w:rsidR="00AA7219">
              <w:t>.</w:t>
            </w:r>
            <w:r>
              <w:t xml:space="preserve"> </w:t>
            </w:r>
          </w:p>
          <w:p w14:paraId="065FD9EC" w14:textId="77777777" w:rsidR="0020229B" w:rsidRDefault="0020229B" w:rsidP="004C32DA">
            <w:pPr>
              <w:pStyle w:val="Header"/>
              <w:jc w:val="both"/>
            </w:pPr>
          </w:p>
          <w:p w14:paraId="2FF8F3D2" w14:textId="6C40A0A5" w:rsidR="008423E4" w:rsidRDefault="00795CC3" w:rsidP="004C32DA">
            <w:pPr>
              <w:pStyle w:val="Header"/>
              <w:jc w:val="both"/>
            </w:pPr>
            <w:r>
              <w:t>C.S.</w:t>
            </w:r>
            <w:r w:rsidR="00FF596B">
              <w:t>H.B. 755</w:t>
            </w:r>
            <w:r w:rsidR="00CF5FCA">
              <w:t xml:space="preserve"> </w:t>
            </w:r>
            <w:r w:rsidR="00AA7219">
              <w:t>seeks to address</w:t>
            </w:r>
            <w:r w:rsidR="00CF5FCA">
              <w:t xml:space="preserve"> this issue </w:t>
            </w:r>
            <w:r w:rsidR="00AA7219">
              <w:t xml:space="preserve">and improve patient outcomes </w:t>
            </w:r>
            <w:r w:rsidR="00CF5FCA">
              <w:t xml:space="preserve">by prohibiting </w:t>
            </w:r>
            <w:r w:rsidR="00AA7219">
              <w:t xml:space="preserve">an insurer from requiring </w:t>
            </w:r>
            <w:r w:rsidR="00CF5FCA">
              <w:t>prior authorization for drug</w:t>
            </w:r>
            <w:r w:rsidR="00AA7219">
              <w:t>s</w:t>
            </w:r>
            <w:r w:rsidR="00CF5FCA">
              <w:t xml:space="preserve"> </w:t>
            </w:r>
            <w:r w:rsidR="00AA7219">
              <w:t xml:space="preserve">prescribed to treat an </w:t>
            </w:r>
            <w:r w:rsidR="00CF5FCA">
              <w:t>autoimmune disease</w:t>
            </w:r>
            <w:r w:rsidR="00927A51">
              <w:t>, hemophilia, or Von Willebrand disease</w:t>
            </w:r>
            <w:r w:rsidR="00AA7219">
              <w:t xml:space="preserve"> more than once annually</w:t>
            </w:r>
            <w:r w:rsidR="00CF5FCA">
              <w:t>.</w:t>
            </w:r>
          </w:p>
          <w:p w14:paraId="7CAE9C32" w14:textId="77777777" w:rsidR="008423E4" w:rsidRPr="00E26B13" w:rsidRDefault="008423E4" w:rsidP="004C32DA">
            <w:pPr>
              <w:rPr>
                <w:b/>
              </w:rPr>
            </w:pPr>
          </w:p>
        </w:tc>
      </w:tr>
      <w:tr w:rsidR="0049467A" w14:paraId="4C664A1D" w14:textId="77777777" w:rsidTr="00556737">
        <w:tc>
          <w:tcPr>
            <w:tcW w:w="9360" w:type="dxa"/>
          </w:tcPr>
          <w:p w14:paraId="2FDE1A61" w14:textId="77777777" w:rsidR="0017725B" w:rsidRDefault="00795CC3" w:rsidP="004C32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A6B96D" w14:textId="77777777" w:rsidR="0017725B" w:rsidRDefault="0017725B" w:rsidP="004C32DA">
            <w:pPr>
              <w:rPr>
                <w:b/>
                <w:u w:val="single"/>
              </w:rPr>
            </w:pPr>
          </w:p>
          <w:p w14:paraId="752481A8" w14:textId="77777777" w:rsidR="00582F9D" w:rsidRPr="00582F9D" w:rsidRDefault="00795CC3" w:rsidP="004C32DA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14:paraId="148EFC00" w14:textId="77777777" w:rsidR="0017725B" w:rsidRPr="0017725B" w:rsidRDefault="0017725B" w:rsidP="004C32DA">
            <w:pPr>
              <w:rPr>
                <w:b/>
                <w:u w:val="single"/>
              </w:rPr>
            </w:pPr>
          </w:p>
        </w:tc>
      </w:tr>
      <w:tr w:rsidR="0049467A" w14:paraId="76476DA9" w14:textId="77777777" w:rsidTr="00556737">
        <w:tc>
          <w:tcPr>
            <w:tcW w:w="9360" w:type="dxa"/>
          </w:tcPr>
          <w:p w14:paraId="0B362AA2" w14:textId="77777777" w:rsidR="008423E4" w:rsidRPr="00A8133F" w:rsidRDefault="00795CC3" w:rsidP="004C32D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0E3223" w14:textId="77777777" w:rsidR="008423E4" w:rsidRDefault="008423E4" w:rsidP="004C32DA"/>
          <w:p w14:paraId="13A645C7" w14:textId="77777777" w:rsidR="00582F9D" w:rsidRDefault="00795CC3" w:rsidP="004C32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</w:t>
            </w:r>
            <w:r>
              <w:t>ill does not expressly grant any additional rulemaking authority to a state officer, department, agency, or institution.</w:t>
            </w:r>
          </w:p>
          <w:p w14:paraId="6CCFADB2" w14:textId="77777777" w:rsidR="008423E4" w:rsidRPr="00E21FDC" w:rsidRDefault="008423E4" w:rsidP="004C32DA">
            <w:pPr>
              <w:rPr>
                <w:b/>
              </w:rPr>
            </w:pPr>
          </w:p>
        </w:tc>
      </w:tr>
      <w:tr w:rsidR="0049467A" w14:paraId="690BD0F3" w14:textId="77777777" w:rsidTr="00556737">
        <w:tc>
          <w:tcPr>
            <w:tcW w:w="9360" w:type="dxa"/>
          </w:tcPr>
          <w:p w14:paraId="2D46F118" w14:textId="77777777" w:rsidR="008423E4" w:rsidRPr="00A8133F" w:rsidRDefault="00795CC3" w:rsidP="004C32D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59BF392" w14:textId="77777777" w:rsidR="008423E4" w:rsidRDefault="008423E4" w:rsidP="004C32DA"/>
          <w:p w14:paraId="65E35831" w14:textId="29B2F562" w:rsidR="005F4777" w:rsidRDefault="00795CC3" w:rsidP="004C32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F596B">
              <w:t>H.B. 755</w:t>
            </w:r>
            <w:r w:rsidR="00582F9D">
              <w:t xml:space="preserve"> amends the Insurance Code to prohibit a</w:t>
            </w:r>
            <w:r w:rsidR="00582F9D" w:rsidRPr="00582F9D">
              <w:t xml:space="preserve"> health benefit plan issuer that provides prescription drug benefits </w:t>
            </w:r>
            <w:r w:rsidR="00582F9D">
              <w:t>from</w:t>
            </w:r>
            <w:r w:rsidR="00582F9D" w:rsidRPr="00582F9D">
              <w:t xml:space="preserve"> requir</w:t>
            </w:r>
            <w:r w:rsidR="00582F9D">
              <w:t>ing</w:t>
            </w:r>
            <w:r w:rsidR="002B51E1">
              <w:t xml:space="preserve"> an enrollee to receive more than one</w:t>
            </w:r>
            <w:r w:rsidR="00582F9D" w:rsidRPr="00582F9D">
              <w:t xml:space="preserve"> prior authorization </w:t>
            </w:r>
            <w:r w:rsidR="002B51E1">
              <w:t xml:space="preserve">annually </w:t>
            </w:r>
            <w:r w:rsidR="00582F9D" w:rsidRPr="00582F9D">
              <w:t xml:space="preserve">of the prescription drug benefit for </w:t>
            </w:r>
            <w:r w:rsidR="00556737">
              <w:t>certain</w:t>
            </w:r>
            <w:r w:rsidR="00582F9D" w:rsidRPr="00582F9D">
              <w:t xml:space="preserve"> prescription drug</w:t>
            </w:r>
            <w:r w:rsidR="00556737">
              <w:t>s</w:t>
            </w:r>
            <w:r w:rsidR="00582F9D" w:rsidRPr="00582F9D">
              <w:t xml:space="preserve"> prescribed to treat </w:t>
            </w:r>
            <w:r w:rsidR="002B51E1">
              <w:t>a</w:t>
            </w:r>
            <w:r w:rsidR="00556737">
              <w:t xml:space="preserve">n </w:t>
            </w:r>
            <w:r w:rsidR="00582F9D" w:rsidRPr="00582F9D">
              <w:t>autoimmune disease</w:t>
            </w:r>
            <w:r w:rsidR="00556737">
              <w:t xml:space="preserve">, </w:t>
            </w:r>
            <w:r w:rsidR="00556737" w:rsidRPr="00556737">
              <w:t>hemophilia, or Von Willebrand disease</w:t>
            </w:r>
            <w:r w:rsidR="00582F9D" w:rsidRPr="00582F9D">
              <w:t>.</w:t>
            </w:r>
            <w:r w:rsidR="00582F9D">
              <w:t xml:space="preserve"> </w:t>
            </w:r>
            <w:r>
              <w:t>The bill makes that requirement inapplicable to the following:</w:t>
            </w:r>
          </w:p>
          <w:p w14:paraId="1C368CC7" w14:textId="64F56CC4" w:rsidR="005F4777" w:rsidRDefault="00795CC3" w:rsidP="004C32D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F4777">
              <w:t>opioids, benzodiazepines, barbiturates, or carisoprodol;</w:t>
            </w:r>
          </w:p>
          <w:p w14:paraId="365A8813" w14:textId="15247EB2" w:rsidR="005F4777" w:rsidRDefault="00795CC3" w:rsidP="004C32D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F4777">
              <w:t>prescription drugs that have a typical treatment period of less than 12 months;</w:t>
            </w:r>
            <w:r>
              <w:t xml:space="preserve"> </w:t>
            </w:r>
          </w:p>
          <w:p w14:paraId="7A9BC98E" w14:textId="4BB8D31B" w:rsidR="005F4777" w:rsidRDefault="00795CC3" w:rsidP="004C32D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drugs that </w:t>
            </w:r>
            <w:r w:rsidRPr="005F4777">
              <w:t>have</w:t>
            </w:r>
            <w:r w:rsidRPr="005F4777">
              <w:t xml:space="preserve"> a boxed warning assigned by the </w:t>
            </w:r>
            <w:r>
              <w:t xml:space="preserve">FDA </w:t>
            </w:r>
            <w:r w:rsidRPr="005F4777">
              <w:t>for use</w:t>
            </w:r>
            <w:r>
              <w:t xml:space="preserve"> and </w:t>
            </w:r>
            <w:r w:rsidRPr="005F4777">
              <w:t>must have specific provider assessment; or</w:t>
            </w:r>
          </w:p>
          <w:p w14:paraId="0C877F3D" w14:textId="0529BDE7" w:rsidR="005F4777" w:rsidRDefault="00795CC3" w:rsidP="004C32D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5F4777">
              <w:t xml:space="preserve">the use of a drug approved for use by the </w:t>
            </w:r>
            <w:r>
              <w:t>FDA</w:t>
            </w:r>
            <w:r w:rsidRPr="005F4777">
              <w:t xml:space="preserve"> in a manner other than the approved use.</w:t>
            </w:r>
          </w:p>
          <w:p w14:paraId="6960E927" w14:textId="77777777" w:rsidR="005F4777" w:rsidRDefault="005F4777" w:rsidP="004C32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ADBF751" w14:textId="266AA110" w:rsidR="009C36CD" w:rsidRPr="009C36CD" w:rsidRDefault="00795CC3" w:rsidP="004C32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755 </w:t>
            </w:r>
            <w:r w:rsidR="00582F9D">
              <w:t xml:space="preserve">establishes the </w:t>
            </w:r>
            <w:r w:rsidR="00927A51">
              <w:t>types of plans to which</w:t>
            </w:r>
            <w:r w:rsidR="00582F9D">
              <w:t xml:space="preserve"> its provisions</w:t>
            </w:r>
            <w:r w:rsidR="00927A51">
              <w:t xml:space="preserve"> apply and establishes exceptions to that applicability</w:t>
            </w:r>
            <w:r>
              <w:t>, including exceptions for Medicaid and CHIP</w:t>
            </w:r>
            <w:r w:rsidR="00582F9D">
              <w:t>. The bill applies only to a health benefit plan delivered, issued for delivery, or renewed on or after January 1, 202</w:t>
            </w:r>
            <w:r w:rsidR="009D7B9F">
              <w:t>4</w:t>
            </w:r>
            <w:r w:rsidR="00582F9D">
              <w:t>.</w:t>
            </w:r>
          </w:p>
          <w:p w14:paraId="03AB98A6" w14:textId="77777777" w:rsidR="008423E4" w:rsidRPr="00835628" w:rsidRDefault="008423E4" w:rsidP="004C32DA">
            <w:pPr>
              <w:rPr>
                <w:b/>
              </w:rPr>
            </w:pPr>
          </w:p>
        </w:tc>
      </w:tr>
      <w:tr w:rsidR="0049467A" w14:paraId="146E85B5" w14:textId="77777777" w:rsidTr="00556737">
        <w:tc>
          <w:tcPr>
            <w:tcW w:w="9360" w:type="dxa"/>
          </w:tcPr>
          <w:p w14:paraId="055BE069" w14:textId="77777777" w:rsidR="008423E4" w:rsidRPr="00A8133F" w:rsidRDefault="00795CC3" w:rsidP="004C32D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0BCBF5D" w14:textId="77777777" w:rsidR="008423E4" w:rsidRDefault="008423E4" w:rsidP="004C32DA"/>
          <w:p w14:paraId="5406147F" w14:textId="460EC930" w:rsidR="008423E4" w:rsidRPr="003624F2" w:rsidRDefault="00795CC3" w:rsidP="004C32D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</w:t>
            </w:r>
            <w:r>
              <w:t>ptember 1, 202</w:t>
            </w:r>
            <w:r w:rsidR="00FF596B">
              <w:t>3</w:t>
            </w:r>
            <w:r>
              <w:t>.</w:t>
            </w:r>
          </w:p>
          <w:p w14:paraId="084D3172" w14:textId="77777777" w:rsidR="008423E4" w:rsidRPr="00233FDB" w:rsidRDefault="008423E4" w:rsidP="004C32DA">
            <w:pPr>
              <w:rPr>
                <w:b/>
              </w:rPr>
            </w:pPr>
          </w:p>
        </w:tc>
      </w:tr>
      <w:tr w:rsidR="0049467A" w14:paraId="4B7E0B80" w14:textId="77777777" w:rsidTr="00556737">
        <w:tc>
          <w:tcPr>
            <w:tcW w:w="9360" w:type="dxa"/>
          </w:tcPr>
          <w:p w14:paraId="1B59A235" w14:textId="4F772926" w:rsidR="007E70CD" w:rsidRDefault="00795CC3" w:rsidP="004C32D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DADA6DF" w14:textId="77777777" w:rsidR="00556737" w:rsidRDefault="00556737" w:rsidP="004C32DA">
            <w:pPr>
              <w:jc w:val="both"/>
            </w:pPr>
          </w:p>
          <w:p w14:paraId="3F509C8A" w14:textId="6CDC4994" w:rsidR="00556737" w:rsidRDefault="00795CC3" w:rsidP="004C32DA">
            <w:pPr>
              <w:jc w:val="both"/>
            </w:pPr>
            <w:r>
              <w:t xml:space="preserve">While C.S.H.B. 755 may differ from the introduced in minor or nonsubstantive ways, the following summarizes the substantial differences between the introduced and committee substitute </w:t>
            </w:r>
            <w:r>
              <w:t>versions of the bill.</w:t>
            </w:r>
          </w:p>
          <w:p w14:paraId="0B684596" w14:textId="77777777" w:rsidR="00556737" w:rsidRPr="00556737" w:rsidRDefault="00556737" w:rsidP="004C32DA">
            <w:pPr>
              <w:jc w:val="both"/>
            </w:pPr>
          </w:p>
          <w:p w14:paraId="5CEED262" w14:textId="63B1A679" w:rsidR="00C22D67" w:rsidRDefault="00795CC3" w:rsidP="004C32DA">
            <w:pPr>
              <w:jc w:val="both"/>
              <w:rPr>
                <w:bCs/>
              </w:rPr>
            </w:pPr>
            <w:r w:rsidRPr="00556737">
              <w:rPr>
                <w:bCs/>
              </w:rPr>
              <w:t>The substitute revises provision</w:t>
            </w:r>
            <w:r>
              <w:rPr>
                <w:bCs/>
              </w:rPr>
              <w:t>s</w:t>
            </w:r>
            <w:r w:rsidRPr="00556737">
              <w:rPr>
                <w:bCs/>
              </w:rPr>
              <w:t xml:space="preserve"> in the introduced regarding </w:t>
            </w:r>
            <w:r>
              <w:rPr>
                <w:bCs/>
              </w:rPr>
              <w:t>the bill's applicability in the following manner:</w:t>
            </w:r>
          </w:p>
          <w:p w14:paraId="3A8B46F0" w14:textId="728ED319" w:rsidR="00C22D67" w:rsidRPr="00E85A9E" w:rsidRDefault="00795CC3" w:rsidP="004C32DA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/>
                <w:u w:val="single"/>
              </w:rPr>
            </w:pPr>
            <w:r>
              <w:rPr>
                <w:bCs/>
              </w:rPr>
              <w:t>changes the medical conditions for which an applicable</w:t>
            </w:r>
            <w:r w:rsidR="0084702C">
              <w:rPr>
                <w:bCs/>
              </w:rPr>
              <w:t xml:space="preserve"> health benefit plan issuer</w:t>
            </w:r>
            <w:r>
              <w:rPr>
                <w:bCs/>
              </w:rPr>
              <w:t xml:space="preserve"> may not require more than one prior aut</w:t>
            </w:r>
            <w:r>
              <w:rPr>
                <w:bCs/>
              </w:rPr>
              <w:t xml:space="preserve">horization annually for prescription drugs from chronic or </w:t>
            </w:r>
            <w:r w:rsidR="000A41E5">
              <w:rPr>
                <w:bCs/>
              </w:rPr>
              <w:t>autoimmune</w:t>
            </w:r>
            <w:r>
              <w:rPr>
                <w:bCs/>
              </w:rPr>
              <w:t xml:space="preserve"> disease, as provided in the introduced, to autoimmune disease, hemophilia, or Von Willebrand</w:t>
            </w:r>
            <w:r w:rsidR="00A27486">
              <w:rPr>
                <w:bCs/>
              </w:rPr>
              <w:t xml:space="preserve"> disease</w:t>
            </w:r>
            <w:r>
              <w:rPr>
                <w:bCs/>
              </w:rPr>
              <w:t>, as provided in the substitute;</w:t>
            </w:r>
          </w:p>
          <w:p w14:paraId="7856552D" w14:textId="1C479637" w:rsidR="006C4F23" w:rsidRPr="00E85A9E" w:rsidRDefault="00795CC3" w:rsidP="004C32DA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/>
                <w:u w:val="single"/>
              </w:rPr>
            </w:pPr>
            <w:r>
              <w:rPr>
                <w:bCs/>
              </w:rPr>
              <w:t>includes a provision that was not in the introduced e</w:t>
            </w:r>
            <w:r>
              <w:rPr>
                <w:bCs/>
              </w:rPr>
              <w:t>xcluding specified prescription drugs from that prohibition;</w:t>
            </w:r>
          </w:p>
          <w:p w14:paraId="7BA5FB2F" w14:textId="13C31E38" w:rsidR="0084702C" w:rsidRPr="00E85A9E" w:rsidRDefault="00795CC3" w:rsidP="004C32DA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/>
                <w:u w:val="single"/>
              </w:rPr>
            </w:pPr>
            <w:r>
              <w:rPr>
                <w:bCs/>
              </w:rPr>
              <w:t>includes a provision that was not in the introduced excepting Medicaid and CHIP from the bill's applicability; and</w:t>
            </w:r>
          </w:p>
          <w:p w14:paraId="3772D5BA" w14:textId="6DBD7ED0" w:rsidR="002B51E1" w:rsidRPr="00C22D67" w:rsidRDefault="00795CC3" w:rsidP="004C32DA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/>
                <w:u w:val="single"/>
              </w:rPr>
            </w:pPr>
            <w:r>
              <w:rPr>
                <w:bCs/>
              </w:rPr>
              <w:t>omits provisions</w:t>
            </w:r>
            <w:r>
              <w:rPr>
                <w:bCs/>
              </w:rPr>
              <w:t xml:space="preserve"> included in the introduced making the bill applicable to</w:t>
            </w:r>
            <w:r w:rsidR="00556737" w:rsidRPr="00C22D67">
              <w:rPr>
                <w:bCs/>
              </w:rPr>
              <w:t xml:space="preserve"> health benefits provided by or through a church benefits board and a regional or local health care program. </w:t>
            </w:r>
          </w:p>
        </w:tc>
      </w:tr>
    </w:tbl>
    <w:p w14:paraId="6F0C396F" w14:textId="77777777" w:rsidR="008423E4" w:rsidRPr="00BE0E75" w:rsidRDefault="008423E4" w:rsidP="004C32DA">
      <w:pPr>
        <w:jc w:val="both"/>
        <w:rPr>
          <w:rFonts w:ascii="Arial" w:hAnsi="Arial"/>
          <w:sz w:val="16"/>
          <w:szCs w:val="16"/>
        </w:rPr>
      </w:pPr>
    </w:p>
    <w:p w14:paraId="43043882" w14:textId="77777777" w:rsidR="004108C3" w:rsidRPr="008423E4" w:rsidRDefault="004108C3" w:rsidP="004C32D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A7ED" w14:textId="77777777" w:rsidR="00000000" w:rsidRDefault="00795CC3">
      <w:r>
        <w:separator/>
      </w:r>
    </w:p>
  </w:endnote>
  <w:endnote w:type="continuationSeparator" w:id="0">
    <w:p w14:paraId="11FAD0C0" w14:textId="77777777" w:rsidR="00000000" w:rsidRDefault="0079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DD0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9467A" w14:paraId="24F49D2C" w14:textId="77777777" w:rsidTr="009C1E9A">
      <w:trPr>
        <w:cantSplit/>
      </w:trPr>
      <w:tc>
        <w:tcPr>
          <w:tcW w:w="0" w:type="pct"/>
        </w:tcPr>
        <w:p w14:paraId="0C5821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F9BC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CC073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3CC8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2D29D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9467A" w14:paraId="79CE7A79" w14:textId="77777777" w:rsidTr="009C1E9A">
      <w:trPr>
        <w:cantSplit/>
      </w:trPr>
      <w:tc>
        <w:tcPr>
          <w:tcW w:w="0" w:type="pct"/>
        </w:tcPr>
        <w:p w14:paraId="573E695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5D0076" w14:textId="56CAE9DA" w:rsidR="00EC379B" w:rsidRPr="009C1E9A" w:rsidRDefault="00795CC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22534-D</w:t>
          </w:r>
        </w:p>
      </w:tc>
      <w:tc>
        <w:tcPr>
          <w:tcW w:w="2453" w:type="pct"/>
        </w:tcPr>
        <w:p w14:paraId="5AE76304" w14:textId="4B17FA28" w:rsidR="00EC379B" w:rsidRDefault="00795CC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9230F">
            <w:t>23.97.343</w:t>
          </w:r>
          <w:r>
            <w:fldChar w:fldCharType="end"/>
          </w:r>
        </w:p>
      </w:tc>
    </w:tr>
    <w:tr w:rsidR="0049467A" w14:paraId="2017C0D3" w14:textId="77777777" w:rsidTr="009C1E9A">
      <w:trPr>
        <w:cantSplit/>
      </w:trPr>
      <w:tc>
        <w:tcPr>
          <w:tcW w:w="0" w:type="pct"/>
        </w:tcPr>
        <w:p w14:paraId="013D74F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DBDB94C" w14:textId="6884067C" w:rsidR="00EC379B" w:rsidRPr="009C1E9A" w:rsidRDefault="00795CC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20676</w:t>
          </w:r>
        </w:p>
      </w:tc>
      <w:tc>
        <w:tcPr>
          <w:tcW w:w="2453" w:type="pct"/>
        </w:tcPr>
        <w:p w14:paraId="627A529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BFD9E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9467A" w14:paraId="7B40957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A4D17D3" w14:textId="05856219" w:rsidR="00EC379B" w:rsidRDefault="00795CC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C160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A97C3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7B32DA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994F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DE43" w14:textId="77777777" w:rsidR="00000000" w:rsidRDefault="00795CC3">
      <w:r>
        <w:separator/>
      </w:r>
    </w:p>
  </w:footnote>
  <w:footnote w:type="continuationSeparator" w:id="0">
    <w:p w14:paraId="70C76C94" w14:textId="77777777" w:rsidR="00000000" w:rsidRDefault="0079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8705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77C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D684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6C5"/>
    <w:multiLevelType w:val="hybridMultilevel"/>
    <w:tmpl w:val="149E7416"/>
    <w:lvl w:ilvl="0" w:tplc="91D8A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E45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C3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CE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05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AC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A2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29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2D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94379"/>
    <w:multiLevelType w:val="hybridMultilevel"/>
    <w:tmpl w:val="68AE3D44"/>
    <w:lvl w:ilvl="0" w:tplc="DAE05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65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4B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EA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41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86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AA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EE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C3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9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38C"/>
    <w:rsid w:val="00027E81"/>
    <w:rsid w:val="00030575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68F"/>
    <w:rsid w:val="00090E6B"/>
    <w:rsid w:val="00091B2C"/>
    <w:rsid w:val="00092ABC"/>
    <w:rsid w:val="00097AAF"/>
    <w:rsid w:val="00097D13"/>
    <w:rsid w:val="000A41E5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3AB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2888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870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A6F"/>
    <w:rsid w:val="001A3DDF"/>
    <w:rsid w:val="001A4310"/>
    <w:rsid w:val="001B053A"/>
    <w:rsid w:val="001B26D8"/>
    <w:rsid w:val="001B3BFA"/>
    <w:rsid w:val="001B75B8"/>
    <w:rsid w:val="001C1230"/>
    <w:rsid w:val="001C5284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229B"/>
    <w:rsid w:val="00203574"/>
    <w:rsid w:val="0020775D"/>
    <w:rsid w:val="002116DD"/>
    <w:rsid w:val="0021383D"/>
    <w:rsid w:val="00213D7B"/>
    <w:rsid w:val="00216BBA"/>
    <w:rsid w:val="00216E12"/>
    <w:rsid w:val="00217466"/>
    <w:rsid w:val="0021751D"/>
    <w:rsid w:val="00217C49"/>
    <w:rsid w:val="0022177D"/>
    <w:rsid w:val="00224C37"/>
    <w:rsid w:val="002304DF"/>
    <w:rsid w:val="002320B3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006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30F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1E1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3BE5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1AF"/>
    <w:rsid w:val="00364315"/>
    <w:rsid w:val="003643E2"/>
    <w:rsid w:val="00370155"/>
    <w:rsid w:val="003712D5"/>
    <w:rsid w:val="003747DF"/>
    <w:rsid w:val="00377E3D"/>
    <w:rsid w:val="00382176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0A90"/>
    <w:rsid w:val="0043190E"/>
    <w:rsid w:val="004324E9"/>
    <w:rsid w:val="00434F1A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135A"/>
    <w:rsid w:val="004824A7"/>
    <w:rsid w:val="00483AF0"/>
    <w:rsid w:val="00484167"/>
    <w:rsid w:val="00492211"/>
    <w:rsid w:val="00492325"/>
    <w:rsid w:val="00492A6D"/>
    <w:rsid w:val="00494303"/>
    <w:rsid w:val="0049467A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32DA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6737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EAA"/>
    <w:rsid w:val="00582F9D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777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08B"/>
    <w:rsid w:val="00656A63"/>
    <w:rsid w:val="00662B77"/>
    <w:rsid w:val="00662D0E"/>
    <w:rsid w:val="00663265"/>
    <w:rsid w:val="0066345F"/>
    <w:rsid w:val="0066485B"/>
    <w:rsid w:val="0067036E"/>
    <w:rsid w:val="00671693"/>
    <w:rsid w:val="00671A5F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7D7"/>
    <w:rsid w:val="006B5E80"/>
    <w:rsid w:val="006B7A2E"/>
    <w:rsid w:val="006C2C95"/>
    <w:rsid w:val="006C4709"/>
    <w:rsid w:val="006C4F2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EE8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CC3"/>
    <w:rsid w:val="007966D4"/>
    <w:rsid w:val="00796A0A"/>
    <w:rsid w:val="0079792C"/>
    <w:rsid w:val="007A0989"/>
    <w:rsid w:val="007A331F"/>
    <w:rsid w:val="007A3844"/>
    <w:rsid w:val="007A4381"/>
    <w:rsid w:val="007A4CEB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0CD"/>
    <w:rsid w:val="007F3861"/>
    <w:rsid w:val="007F4162"/>
    <w:rsid w:val="007F5441"/>
    <w:rsid w:val="007F7668"/>
    <w:rsid w:val="00800A62"/>
    <w:rsid w:val="00800C63"/>
    <w:rsid w:val="00802243"/>
    <w:rsid w:val="008023D4"/>
    <w:rsid w:val="00803ED6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02C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694"/>
    <w:rsid w:val="00915568"/>
    <w:rsid w:val="00917E0C"/>
    <w:rsid w:val="00920711"/>
    <w:rsid w:val="00921A1E"/>
    <w:rsid w:val="00924EA9"/>
    <w:rsid w:val="00925CE1"/>
    <w:rsid w:val="00925F5C"/>
    <w:rsid w:val="00927A51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284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B9F"/>
    <w:rsid w:val="009E13BF"/>
    <w:rsid w:val="009E3631"/>
    <w:rsid w:val="009E3EB9"/>
    <w:rsid w:val="009E69C2"/>
    <w:rsid w:val="009E70AF"/>
    <w:rsid w:val="009E7AEB"/>
    <w:rsid w:val="009F0C32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486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C75"/>
    <w:rsid w:val="00AA18AE"/>
    <w:rsid w:val="00AA228B"/>
    <w:rsid w:val="00AA597A"/>
    <w:rsid w:val="00AA7219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AFD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3443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73A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1608"/>
    <w:rsid w:val="00BC30A6"/>
    <w:rsid w:val="00BC3ED3"/>
    <w:rsid w:val="00BC3EF6"/>
    <w:rsid w:val="00BC4E34"/>
    <w:rsid w:val="00BC51D0"/>
    <w:rsid w:val="00BC58E1"/>
    <w:rsid w:val="00BC59CA"/>
    <w:rsid w:val="00BC6462"/>
    <w:rsid w:val="00BC71EB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2D6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4D1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588"/>
    <w:rsid w:val="00C80B8F"/>
    <w:rsid w:val="00C82743"/>
    <w:rsid w:val="00C834CE"/>
    <w:rsid w:val="00C9047F"/>
    <w:rsid w:val="00C91F65"/>
    <w:rsid w:val="00C92310"/>
    <w:rsid w:val="00C95150"/>
    <w:rsid w:val="00C95A73"/>
    <w:rsid w:val="00C97A3C"/>
    <w:rsid w:val="00CA02B0"/>
    <w:rsid w:val="00CA032E"/>
    <w:rsid w:val="00CA2182"/>
    <w:rsid w:val="00CA2186"/>
    <w:rsid w:val="00CA26EF"/>
    <w:rsid w:val="00CA2D59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4E5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A76"/>
    <w:rsid w:val="00CF4827"/>
    <w:rsid w:val="00CF4C69"/>
    <w:rsid w:val="00CF581C"/>
    <w:rsid w:val="00CF5FCA"/>
    <w:rsid w:val="00CF71E0"/>
    <w:rsid w:val="00D001B1"/>
    <w:rsid w:val="00D03176"/>
    <w:rsid w:val="00D04088"/>
    <w:rsid w:val="00D060A8"/>
    <w:rsid w:val="00D06605"/>
    <w:rsid w:val="00D0720F"/>
    <w:rsid w:val="00D074E2"/>
    <w:rsid w:val="00D11B0B"/>
    <w:rsid w:val="00D12875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EE3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0C1"/>
    <w:rsid w:val="00E8272C"/>
    <w:rsid w:val="00E827C7"/>
    <w:rsid w:val="00E85A9E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533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01B4"/>
    <w:rsid w:val="00F81095"/>
    <w:rsid w:val="00F82811"/>
    <w:rsid w:val="00F84153"/>
    <w:rsid w:val="00F85661"/>
    <w:rsid w:val="00F96602"/>
    <w:rsid w:val="00F9735A"/>
    <w:rsid w:val="00FA32FC"/>
    <w:rsid w:val="00FA3B38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96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CEEEB9-3ECE-405F-81EA-18CF85D8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2F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2F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2F9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2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2F9D"/>
    <w:rPr>
      <w:b/>
      <w:bCs/>
    </w:rPr>
  </w:style>
  <w:style w:type="paragraph" w:styleId="Revision">
    <w:name w:val="Revision"/>
    <w:hidden/>
    <w:uiPriority w:val="99"/>
    <w:semiHidden/>
    <w:rsid w:val="00434F1A"/>
    <w:rPr>
      <w:sz w:val="24"/>
      <w:szCs w:val="24"/>
    </w:rPr>
  </w:style>
  <w:style w:type="character" w:styleId="Hyperlink">
    <w:name w:val="Hyperlink"/>
    <w:basedOn w:val="DefaultParagraphFont"/>
    <w:unhideWhenUsed/>
    <w:rsid w:val="00434F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B74E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3336</Characters>
  <Application>Microsoft Office Word</Application>
  <DocSecurity>4</DocSecurity>
  <Lines>81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HB00755 (Committee Report (Substituted))</vt:lpstr>
    </vt:vector>
  </TitlesOfParts>
  <Company>State of Texas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22534</dc:subject>
  <dc:creator>State of Texas</dc:creator>
  <dc:description>HB 755 by Johnson, Julie-(H)Insurance (Substitute Document Number: 88R 20676)</dc:description>
  <cp:lastModifiedBy>Matthew Lee</cp:lastModifiedBy>
  <cp:revision>2</cp:revision>
  <cp:lastPrinted>2003-11-26T17:21:00Z</cp:lastPrinted>
  <dcterms:created xsi:type="dcterms:W3CDTF">2023-04-19T19:29:00Z</dcterms:created>
  <dcterms:modified xsi:type="dcterms:W3CDTF">2023-04-19T19:29:00Z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23.97.343</vt:lpwstr>
  </property>
</Properties>
</file>