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F3D93" w14:paraId="087C4B38" w14:textId="77777777" w:rsidTr="00345119">
        <w:tc>
          <w:tcPr>
            <w:tcW w:w="9576" w:type="dxa"/>
            <w:noWrap/>
          </w:tcPr>
          <w:p w14:paraId="4573D9EE" w14:textId="77777777" w:rsidR="008423E4" w:rsidRPr="0022177D" w:rsidRDefault="003C677E" w:rsidP="005B4832">
            <w:pPr>
              <w:pStyle w:val="Heading1"/>
            </w:pPr>
            <w:r w:rsidRPr="00631897">
              <w:t>BILL ANALYSIS</w:t>
            </w:r>
          </w:p>
        </w:tc>
      </w:tr>
    </w:tbl>
    <w:p w14:paraId="235E48F6" w14:textId="77777777" w:rsidR="008423E4" w:rsidRPr="0022177D" w:rsidRDefault="008423E4" w:rsidP="005B4832">
      <w:pPr>
        <w:jc w:val="center"/>
      </w:pPr>
    </w:p>
    <w:p w14:paraId="7321BFE2" w14:textId="77777777" w:rsidR="008423E4" w:rsidRPr="00B31F0E" w:rsidRDefault="008423E4" w:rsidP="005B4832"/>
    <w:p w14:paraId="70CB3BFB" w14:textId="77777777" w:rsidR="008423E4" w:rsidRPr="00742794" w:rsidRDefault="008423E4" w:rsidP="005B4832">
      <w:pPr>
        <w:tabs>
          <w:tab w:val="right" w:pos="9360"/>
        </w:tabs>
      </w:pPr>
    </w:p>
    <w:tbl>
      <w:tblPr>
        <w:tblW w:w="0" w:type="auto"/>
        <w:tblLayout w:type="fixed"/>
        <w:tblLook w:val="01E0" w:firstRow="1" w:lastRow="1" w:firstColumn="1" w:lastColumn="1" w:noHBand="0" w:noVBand="0"/>
      </w:tblPr>
      <w:tblGrid>
        <w:gridCol w:w="9576"/>
      </w:tblGrid>
      <w:tr w:rsidR="009F3D93" w14:paraId="1E4C0AF5" w14:textId="77777777" w:rsidTr="00345119">
        <w:tc>
          <w:tcPr>
            <w:tcW w:w="9576" w:type="dxa"/>
          </w:tcPr>
          <w:p w14:paraId="3FC90831" w14:textId="59C68D4D" w:rsidR="008423E4" w:rsidRPr="00861995" w:rsidRDefault="003C677E" w:rsidP="005B4832">
            <w:pPr>
              <w:jc w:val="right"/>
            </w:pPr>
            <w:r>
              <w:t>C.S.H.B. 790</w:t>
            </w:r>
          </w:p>
        </w:tc>
      </w:tr>
      <w:tr w:rsidR="009F3D93" w14:paraId="35F5B012" w14:textId="77777777" w:rsidTr="00345119">
        <w:tc>
          <w:tcPr>
            <w:tcW w:w="9576" w:type="dxa"/>
          </w:tcPr>
          <w:p w14:paraId="664D1399" w14:textId="110C1607" w:rsidR="008423E4" w:rsidRPr="00861995" w:rsidRDefault="003C677E" w:rsidP="005B4832">
            <w:pPr>
              <w:jc w:val="right"/>
            </w:pPr>
            <w:r>
              <w:t xml:space="preserve">By: </w:t>
            </w:r>
            <w:r w:rsidR="0013750F">
              <w:t>Patterson</w:t>
            </w:r>
          </w:p>
        </w:tc>
      </w:tr>
      <w:tr w:rsidR="009F3D93" w14:paraId="4E215544" w14:textId="77777777" w:rsidTr="00345119">
        <w:tc>
          <w:tcPr>
            <w:tcW w:w="9576" w:type="dxa"/>
          </w:tcPr>
          <w:p w14:paraId="2D707410" w14:textId="13748EE0" w:rsidR="008423E4" w:rsidRPr="00861995" w:rsidRDefault="003C677E" w:rsidP="005B4832">
            <w:pPr>
              <w:jc w:val="right"/>
            </w:pPr>
            <w:r>
              <w:t>Business &amp; Industry</w:t>
            </w:r>
          </w:p>
        </w:tc>
      </w:tr>
      <w:tr w:rsidR="009F3D93" w14:paraId="3C67AAFD" w14:textId="77777777" w:rsidTr="00345119">
        <w:tc>
          <w:tcPr>
            <w:tcW w:w="9576" w:type="dxa"/>
          </w:tcPr>
          <w:p w14:paraId="6FD0E82B" w14:textId="548C38F2" w:rsidR="008423E4" w:rsidRDefault="003C677E" w:rsidP="005B4832">
            <w:pPr>
              <w:jc w:val="right"/>
            </w:pPr>
            <w:r>
              <w:t>Committee Report (Substituted)</w:t>
            </w:r>
          </w:p>
        </w:tc>
      </w:tr>
    </w:tbl>
    <w:p w14:paraId="70177F01" w14:textId="77777777" w:rsidR="008423E4" w:rsidRDefault="008423E4" w:rsidP="005B4832">
      <w:pPr>
        <w:tabs>
          <w:tab w:val="right" w:pos="9360"/>
        </w:tabs>
      </w:pPr>
    </w:p>
    <w:p w14:paraId="5070340F" w14:textId="77777777" w:rsidR="008423E4" w:rsidRDefault="008423E4" w:rsidP="005B4832"/>
    <w:p w14:paraId="7B8A1676" w14:textId="77777777" w:rsidR="008423E4" w:rsidRDefault="008423E4" w:rsidP="005B4832"/>
    <w:tbl>
      <w:tblPr>
        <w:tblW w:w="0" w:type="auto"/>
        <w:tblCellMar>
          <w:left w:w="115" w:type="dxa"/>
          <w:right w:w="115" w:type="dxa"/>
        </w:tblCellMar>
        <w:tblLook w:val="01E0" w:firstRow="1" w:lastRow="1" w:firstColumn="1" w:lastColumn="1" w:noHBand="0" w:noVBand="0"/>
      </w:tblPr>
      <w:tblGrid>
        <w:gridCol w:w="9360"/>
      </w:tblGrid>
      <w:tr w:rsidR="009F3D93" w14:paraId="7F80A55F" w14:textId="77777777" w:rsidTr="00345119">
        <w:tc>
          <w:tcPr>
            <w:tcW w:w="9576" w:type="dxa"/>
          </w:tcPr>
          <w:p w14:paraId="7B8CA619" w14:textId="77777777" w:rsidR="008423E4" w:rsidRPr="00A8133F" w:rsidRDefault="003C677E" w:rsidP="005B4832">
            <w:pPr>
              <w:rPr>
                <w:b/>
              </w:rPr>
            </w:pPr>
            <w:r w:rsidRPr="009C1E9A">
              <w:rPr>
                <w:b/>
                <w:u w:val="single"/>
              </w:rPr>
              <w:t>BACKGROUND AND PURPOSE</w:t>
            </w:r>
            <w:r>
              <w:rPr>
                <w:b/>
              </w:rPr>
              <w:t xml:space="preserve"> </w:t>
            </w:r>
          </w:p>
          <w:p w14:paraId="5DCD0963" w14:textId="77777777" w:rsidR="008423E4" w:rsidRDefault="008423E4" w:rsidP="005B4832"/>
          <w:p w14:paraId="1DEE01FE" w14:textId="15767DFB" w:rsidR="008423E4" w:rsidRDefault="003C677E" w:rsidP="005B4832">
            <w:pPr>
              <w:pStyle w:val="Header"/>
              <w:tabs>
                <w:tab w:val="clear" w:pos="4320"/>
                <w:tab w:val="clear" w:pos="8640"/>
              </w:tabs>
              <w:jc w:val="both"/>
            </w:pPr>
            <w:r>
              <w:t>C</w:t>
            </w:r>
            <w:r w:rsidR="002821C3" w:rsidRPr="002821C3">
              <w:t>onstituent</w:t>
            </w:r>
            <w:r w:rsidR="003334CC">
              <w:t>s have raised</w:t>
            </w:r>
            <w:r w:rsidR="002821C3" w:rsidRPr="002821C3">
              <w:t xml:space="preserve"> concerns</w:t>
            </w:r>
            <w:r w:rsidR="003334CC">
              <w:t xml:space="preserve"> that</w:t>
            </w:r>
            <w:r w:rsidR="002821C3" w:rsidRPr="002821C3">
              <w:t xml:space="preserve"> the workers' compensation system for first responders continues to leave imbalances and confusions that lead to first responder cases taking longer than needed to return employees back to continued employment.</w:t>
            </w:r>
            <w:r w:rsidR="002821C3">
              <w:t xml:space="preserve"> </w:t>
            </w:r>
            <w:r w:rsidR="00D72DE4">
              <w:t>Issues of note include the</w:t>
            </w:r>
            <w:r w:rsidR="002821C3" w:rsidRPr="002821C3">
              <w:t xml:space="preserve"> inability to request a treating doctor examination</w:t>
            </w:r>
            <w:r>
              <w:t>,</w:t>
            </w:r>
            <w:r w:rsidR="002821C3" w:rsidRPr="002821C3">
              <w:t xml:space="preserve"> which leads to continued misdiagnosis and inaccurate coverage</w:t>
            </w:r>
            <w:r w:rsidR="00D72DE4">
              <w:t>;</w:t>
            </w:r>
            <w:r w:rsidR="002821C3" w:rsidRPr="002821C3">
              <w:t xml:space="preserve"> unclear timelines for carriers to provide certain coverages</w:t>
            </w:r>
            <w:r w:rsidR="00D72DE4">
              <w:t>;</w:t>
            </w:r>
            <w:r w:rsidR="002821C3" w:rsidRPr="002821C3">
              <w:t xml:space="preserve"> and a lack of access to needed resources due to the current videoconference case hearing rules.</w:t>
            </w:r>
            <w:r w:rsidR="002821C3">
              <w:t xml:space="preserve"> </w:t>
            </w:r>
            <w:r w:rsidR="003334CC">
              <w:t>C.S.H.B</w:t>
            </w:r>
            <w:r w:rsidR="00C76E2B">
              <w:t>. </w:t>
            </w:r>
            <w:r w:rsidR="003334CC">
              <w:t>790</w:t>
            </w:r>
            <w:r w:rsidR="002821C3" w:rsidRPr="002821C3">
              <w:t xml:space="preserve"> seeks to resolve the</w:t>
            </w:r>
            <w:r w:rsidR="003334CC">
              <w:t>se</w:t>
            </w:r>
            <w:r w:rsidR="002821C3" w:rsidRPr="002821C3">
              <w:t xml:space="preserve"> issues </w:t>
            </w:r>
            <w:r w:rsidR="003334CC">
              <w:t>by</w:t>
            </w:r>
            <w:r w:rsidR="002821C3" w:rsidRPr="002821C3">
              <w:t xml:space="preserve"> allow</w:t>
            </w:r>
            <w:r w:rsidR="003334CC">
              <w:t>ing</w:t>
            </w:r>
            <w:r w:rsidR="002821C3" w:rsidRPr="002821C3">
              <w:t xml:space="preserve"> first responders to request a</w:t>
            </w:r>
            <w:r w:rsidR="00EB2DF3">
              <w:t>n</w:t>
            </w:r>
            <w:r w:rsidR="002821C3" w:rsidRPr="002821C3">
              <w:t xml:space="preserve"> examination by the treating physician</w:t>
            </w:r>
            <w:r w:rsidR="00780E7A">
              <w:t>,</w:t>
            </w:r>
            <w:r w:rsidR="002821C3" w:rsidRPr="002821C3">
              <w:t xml:space="preserve"> </w:t>
            </w:r>
            <w:r w:rsidR="00780E7A">
              <w:t>requiring</w:t>
            </w:r>
            <w:r w:rsidR="002821C3" w:rsidRPr="002821C3">
              <w:t xml:space="preserve"> a 60</w:t>
            </w:r>
            <w:r w:rsidR="00C946DF">
              <w:t>-</w:t>
            </w:r>
            <w:r w:rsidR="002821C3" w:rsidRPr="002821C3">
              <w:t>day timeline for carriers to comply with the initiation of benefits after the initial 15</w:t>
            </w:r>
            <w:r w:rsidR="00C946DF">
              <w:t>-</w:t>
            </w:r>
            <w:r w:rsidR="002821C3" w:rsidRPr="002821C3">
              <w:t>day rule, a</w:t>
            </w:r>
            <w:r w:rsidR="00780E7A">
              <w:t>llowing</w:t>
            </w:r>
            <w:r w:rsidR="002821C3" w:rsidRPr="002821C3">
              <w:t xml:space="preserve"> case hearings to be </w:t>
            </w:r>
            <w:r w:rsidR="00C946DF">
              <w:t>conducted</w:t>
            </w:r>
            <w:r w:rsidR="002821C3" w:rsidRPr="002821C3">
              <w:t xml:space="preserve"> via videoconference</w:t>
            </w:r>
            <w:r w:rsidR="00780E7A">
              <w:t>,</w:t>
            </w:r>
            <w:r w:rsidR="002821C3" w:rsidRPr="002821C3">
              <w:t xml:space="preserve"> </w:t>
            </w:r>
            <w:r w:rsidR="00780E7A">
              <w:t>requiring</w:t>
            </w:r>
            <w:r w:rsidR="002821C3" w:rsidRPr="002821C3">
              <w:t xml:space="preserve"> carrier</w:t>
            </w:r>
            <w:r w:rsidR="00780E7A">
              <w:t xml:space="preserve">s to provide the </w:t>
            </w:r>
            <w:r w:rsidR="00780E7A" w:rsidRPr="00495BE1">
              <w:t>specific reasons why a claim i</w:t>
            </w:r>
            <w:r w:rsidR="00D72DE4" w:rsidRPr="00495BE1">
              <w:t>s</w:t>
            </w:r>
            <w:r w:rsidR="00780E7A" w:rsidRPr="00495BE1">
              <w:t xml:space="preserve"> </w:t>
            </w:r>
            <w:r w:rsidR="00495BE1">
              <w:t>disputed on the basis of compensability or the extent of the injury</w:t>
            </w:r>
            <w:r w:rsidR="00780E7A">
              <w:t>,</w:t>
            </w:r>
            <w:r w:rsidR="002821C3" w:rsidRPr="002821C3">
              <w:t xml:space="preserve"> and providing clarity on liability and reimbursement on case costs.</w:t>
            </w:r>
          </w:p>
          <w:p w14:paraId="4ECF3DBF" w14:textId="77777777" w:rsidR="008423E4" w:rsidRPr="00E26B13" w:rsidRDefault="008423E4" w:rsidP="005B4832">
            <w:pPr>
              <w:rPr>
                <w:b/>
              </w:rPr>
            </w:pPr>
          </w:p>
        </w:tc>
      </w:tr>
      <w:tr w:rsidR="009F3D93" w14:paraId="3CC7B6C5" w14:textId="77777777" w:rsidTr="00345119">
        <w:tc>
          <w:tcPr>
            <w:tcW w:w="9576" w:type="dxa"/>
          </w:tcPr>
          <w:p w14:paraId="05551750" w14:textId="77777777" w:rsidR="0017725B" w:rsidRDefault="003C677E" w:rsidP="005B4832">
            <w:pPr>
              <w:rPr>
                <w:b/>
                <w:u w:val="single"/>
              </w:rPr>
            </w:pPr>
            <w:r>
              <w:rPr>
                <w:b/>
                <w:u w:val="single"/>
              </w:rPr>
              <w:t>CRIMINAL JUSTICE IMPACT</w:t>
            </w:r>
          </w:p>
          <w:p w14:paraId="2C6C1DD2" w14:textId="77777777" w:rsidR="0017725B" w:rsidRDefault="0017725B" w:rsidP="005B4832">
            <w:pPr>
              <w:rPr>
                <w:b/>
                <w:u w:val="single"/>
              </w:rPr>
            </w:pPr>
          </w:p>
          <w:p w14:paraId="1EC01186" w14:textId="496D11DA" w:rsidR="00B611FE" w:rsidRPr="00B611FE" w:rsidRDefault="003C677E" w:rsidP="005B4832">
            <w:pPr>
              <w:jc w:val="both"/>
            </w:pPr>
            <w:r>
              <w:t xml:space="preserve">It is the committee's opinion that this bill does not expressly create a criminal offense, increase the punishment for an existing criminal offense or category </w:t>
            </w:r>
            <w:r>
              <w:t>of offenses, or change the eligibility of a person for community supervision, parole, or mandatory supervision.</w:t>
            </w:r>
          </w:p>
          <w:p w14:paraId="64416B8C" w14:textId="77777777" w:rsidR="0017725B" w:rsidRPr="0017725B" w:rsidRDefault="0017725B" w:rsidP="005B4832">
            <w:pPr>
              <w:rPr>
                <w:b/>
                <w:u w:val="single"/>
              </w:rPr>
            </w:pPr>
          </w:p>
        </w:tc>
      </w:tr>
      <w:tr w:rsidR="009F3D93" w14:paraId="793F7CE1" w14:textId="77777777" w:rsidTr="00345119">
        <w:tc>
          <w:tcPr>
            <w:tcW w:w="9576" w:type="dxa"/>
          </w:tcPr>
          <w:p w14:paraId="54BB8665" w14:textId="77777777" w:rsidR="008423E4" w:rsidRPr="00A8133F" w:rsidRDefault="003C677E" w:rsidP="005B4832">
            <w:pPr>
              <w:rPr>
                <w:b/>
              </w:rPr>
            </w:pPr>
            <w:r w:rsidRPr="009C1E9A">
              <w:rPr>
                <w:b/>
                <w:u w:val="single"/>
              </w:rPr>
              <w:t>RULEMAKING AUTHORITY</w:t>
            </w:r>
            <w:r>
              <w:rPr>
                <w:b/>
              </w:rPr>
              <w:t xml:space="preserve"> </w:t>
            </w:r>
          </w:p>
          <w:p w14:paraId="391FC0EF" w14:textId="77777777" w:rsidR="008423E4" w:rsidRDefault="008423E4" w:rsidP="005B4832"/>
          <w:p w14:paraId="3EEEBF59" w14:textId="6B6A2F44" w:rsidR="00B611FE" w:rsidRDefault="003C677E" w:rsidP="005B4832">
            <w:pPr>
              <w:pStyle w:val="Header"/>
              <w:tabs>
                <w:tab w:val="clear" w:pos="4320"/>
                <w:tab w:val="clear" w:pos="8640"/>
              </w:tabs>
              <w:jc w:val="both"/>
            </w:pPr>
            <w:r>
              <w:t>It is the committee's opinion that rulemaking authority is expressly granted to</w:t>
            </w:r>
            <w:r w:rsidR="00AB222F">
              <w:t xml:space="preserve"> the commissioner of</w:t>
            </w:r>
            <w:r>
              <w:t xml:space="preserve"> </w:t>
            </w:r>
            <w:r w:rsidR="00EB2DF3">
              <w:t>workers' compensation</w:t>
            </w:r>
            <w:r>
              <w:t xml:space="preserve"> in SECTION</w:t>
            </w:r>
            <w:r w:rsidR="00AB222F">
              <w:t> </w:t>
            </w:r>
            <w:r w:rsidR="005F7EC0">
              <w:t>1</w:t>
            </w:r>
            <w:r>
              <w:t xml:space="preserve"> of this bill.</w:t>
            </w:r>
          </w:p>
          <w:p w14:paraId="404D86F7" w14:textId="77777777" w:rsidR="008423E4" w:rsidRPr="00E21FDC" w:rsidRDefault="008423E4" w:rsidP="005B4832">
            <w:pPr>
              <w:rPr>
                <w:b/>
              </w:rPr>
            </w:pPr>
          </w:p>
        </w:tc>
      </w:tr>
      <w:tr w:rsidR="009F3D93" w14:paraId="4F38D56A" w14:textId="77777777" w:rsidTr="00345119">
        <w:tc>
          <w:tcPr>
            <w:tcW w:w="9576" w:type="dxa"/>
          </w:tcPr>
          <w:p w14:paraId="13A6CB10" w14:textId="77777777" w:rsidR="008423E4" w:rsidRPr="00A8133F" w:rsidRDefault="003C677E" w:rsidP="005B4832">
            <w:pPr>
              <w:rPr>
                <w:b/>
              </w:rPr>
            </w:pPr>
            <w:r w:rsidRPr="009C1E9A">
              <w:rPr>
                <w:b/>
                <w:u w:val="single"/>
              </w:rPr>
              <w:t>ANALYSIS</w:t>
            </w:r>
            <w:r>
              <w:rPr>
                <w:b/>
              </w:rPr>
              <w:t xml:space="preserve"> </w:t>
            </w:r>
          </w:p>
          <w:p w14:paraId="00C8DA17" w14:textId="77777777" w:rsidR="008423E4" w:rsidRDefault="008423E4" w:rsidP="005B4832"/>
          <w:p w14:paraId="6132BA63" w14:textId="5470240B" w:rsidR="00B36F9F" w:rsidRDefault="003C677E" w:rsidP="005B4832">
            <w:pPr>
              <w:pStyle w:val="Header"/>
              <w:tabs>
                <w:tab w:val="clear" w:pos="4320"/>
                <w:tab w:val="clear" w:pos="8640"/>
              </w:tabs>
              <w:jc w:val="both"/>
            </w:pPr>
            <w:r>
              <w:t>C.</w:t>
            </w:r>
            <w:r w:rsidR="00B11795">
              <w:t xml:space="preserve">S.H.B. 790 amends the Labor Code to </w:t>
            </w:r>
            <w:r>
              <w:t xml:space="preserve">set out provisions relating to claims under the </w:t>
            </w:r>
            <w:r w:rsidR="009224FF">
              <w:t xml:space="preserve">Texas </w:t>
            </w:r>
            <w:r>
              <w:t xml:space="preserve">Workers' Compensation Act for an </w:t>
            </w:r>
            <w:r w:rsidR="0024030A">
              <w:t>injured</w:t>
            </w:r>
            <w:r>
              <w:t xml:space="preserve"> employee </w:t>
            </w:r>
            <w:r w:rsidRPr="001E1300">
              <w:t xml:space="preserve">who is a custodial officer, a detention officer, an emergency </w:t>
            </w:r>
            <w:r w:rsidRPr="001E1300">
              <w:t>medical technician, a firefighter, or a peace officer</w:t>
            </w:r>
            <w:r>
              <w:t xml:space="preserve">. The bill, with respect to such </w:t>
            </w:r>
            <w:r w:rsidR="004473B7">
              <w:t xml:space="preserve">a </w:t>
            </w:r>
            <w:r>
              <w:t xml:space="preserve">claim, does the following: </w:t>
            </w:r>
          </w:p>
          <w:p w14:paraId="6BC3C7F3" w14:textId="6CE793B0" w:rsidR="00B11795" w:rsidRDefault="003C677E" w:rsidP="005B4832">
            <w:pPr>
              <w:pStyle w:val="Header"/>
              <w:numPr>
                <w:ilvl w:val="0"/>
                <w:numId w:val="2"/>
              </w:numPr>
              <w:tabs>
                <w:tab w:val="clear" w:pos="4320"/>
                <w:tab w:val="clear" w:pos="8640"/>
              </w:tabs>
              <w:jc w:val="both"/>
            </w:pPr>
            <w:r>
              <w:t>authorize</w:t>
            </w:r>
            <w:r w:rsidR="00B36F9F">
              <w:t>s</w:t>
            </w:r>
            <w:r>
              <w:t xml:space="preserve"> </w:t>
            </w:r>
            <w:r w:rsidRPr="001E1300">
              <w:t xml:space="preserve">the </w:t>
            </w:r>
            <w:r w:rsidRPr="004473B7">
              <w:t>Texas Department of Insurance division</w:t>
            </w:r>
            <w:r>
              <w:t xml:space="preserve"> of </w:t>
            </w:r>
            <w:r w:rsidR="00061BDB">
              <w:t xml:space="preserve">workers' </w:t>
            </w:r>
            <w:r>
              <w:t>compensation,</w:t>
            </w:r>
            <w:r w:rsidRPr="001E1300">
              <w:t xml:space="preserve"> </w:t>
            </w:r>
            <w:r>
              <w:t>o</w:t>
            </w:r>
            <w:r w:rsidRPr="001E1300">
              <w:t xml:space="preserve">n request by </w:t>
            </w:r>
            <w:r w:rsidR="00C125EC">
              <w:t>the injured</w:t>
            </w:r>
            <w:r w:rsidRPr="001E1300">
              <w:t xml:space="preserve"> employee, </w:t>
            </w:r>
            <w:r>
              <w:t>to</w:t>
            </w:r>
            <w:r w:rsidRPr="001E1300">
              <w:t xml:space="preserve"> authorize the performance of a medical examination to define </w:t>
            </w:r>
            <w:r>
              <w:t>the</w:t>
            </w:r>
            <w:r w:rsidRPr="001E1300">
              <w:t xml:space="preserve"> compensable injury, regardless of whether an examination </w:t>
            </w:r>
            <w:r>
              <w:t>requested by the insurance carrier</w:t>
            </w:r>
            <w:r w:rsidRPr="001E1300">
              <w:t xml:space="preserve"> was previously performed</w:t>
            </w:r>
            <w:r w:rsidR="001C6FAC">
              <w:t>;</w:t>
            </w:r>
            <w:r>
              <w:t xml:space="preserve"> </w:t>
            </w:r>
          </w:p>
          <w:p w14:paraId="4E143F9C" w14:textId="1AE50A9A" w:rsidR="008D1098" w:rsidRDefault="003C677E" w:rsidP="005B4832">
            <w:pPr>
              <w:pStyle w:val="Header"/>
              <w:numPr>
                <w:ilvl w:val="0"/>
                <w:numId w:val="2"/>
              </w:numPr>
              <w:tabs>
                <w:tab w:val="clear" w:pos="4320"/>
                <w:tab w:val="clear" w:pos="8640"/>
              </w:tabs>
              <w:jc w:val="both"/>
            </w:pPr>
            <w:r>
              <w:t>establishes that a</w:t>
            </w:r>
            <w:r w:rsidRPr="00C33C01">
              <w:t xml:space="preserve">n insurance carrier </w:t>
            </w:r>
            <w:r w:rsidR="007C60DF">
              <w:t>that</w:t>
            </w:r>
            <w:r w:rsidRPr="00C33C01">
              <w:t xml:space="preserve"> fails to </w:t>
            </w:r>
            <w:r w:rsidR="007C60DF" w:rsidRPr="004473B7">
              <w:t>begin</w:t>
            </w:r>
            <w:r w:rsidRPr="004473B7">
              <w:t xml:space="preserve"> payment</w:t>
            </w:r>
            <w:r>
              <w:t xml:space="preserve"> </w:t>
            </w:r>
            <w:r w:rsidR="0082005D">
              <w:t xml:space="preserve">of benefits </w:t>
            </w:r>
            <w:r>
              <w:t xml:space="preserve">or notify the division and </w:t>
            </w:r>
            <w:r w:rsidR="0082005D">
              <w:t xml:space="preserve">injured </w:t>
            </w:r>
            <w:r>
              <w:t xml:space="preserve">employee of </w:t>
            </w:r>
            <w:r w:rsidR="007C60DF">
              <w:t>its</w:t>
            </w:r>
            <w:r>
              <w:t xml:space="preserve"> refusal to pay </w:t>
            </w:r>
            <w:r w:rsidRPr="00B161AB">
              <w:t xml:space="preserve">on or before the 60th day after the date the carrier receives written notice of </w:t>
            </w:r>
            <w:r>
              <w:t>the</w:t>
            </w:r>
            <w:r w:rsidRPr="00B161AB">
              <w:t xml:space="preserve"> </w:t>
            </w:r>
            <w:r w:rsidRPr="006F6798">
              <w:t>injury waives its</w:t>
            </w:r>
            <w:r w:rsidRPr="00BB3AF8">
              <w:t xml:space="preserve"> right to contest the extent of the injury specifically claimed by the employee or</w:t>
            </w:r>
            <w:r w:rsidRPr="00BB3AF8">
              <w:t xml:space="preserve"> reasonably reflected in the employee's medical records available to the carrier for review during that time period</w:t>
            </w:r>
            <w:r w:rsidR="004473B7">
              <w:t xml:space="preserve">, </w:t>
            </w:r>
            <w:r w:rsidR="004473B7" w:rsidRPr="00C946DF">
              <w:t xml:space="preserve">but that </w:t>
            </w:r>
            <w:r w:rsidR="0082005D" w:rsidRPr="00C946DF">
              <w:t xml:space="preserve">failure to comply with that 60-day </w:t>
            </w:r>
            <w:r w:rsidR="009A0C25" w:rsidRPr="00C946DF">
              <w:t>timeline</w:t>
            </w:r>
            <w:r w:rsidR="0082005D" w:rsidRPr="00C946DF">
              <w:t xml:space="preserve"> does not waive the carrier's right to contest the compensability of the injury</w:t>
            </w:r>
            <w:r w:rsidRPr="00C946DF">
              <w:t>;</w:t>
            </w:r>
            <w:r w:rsidR="00C125EC">
              <w:t xml:space="preserve"> </w:t>
            </w:r>
          </w:p>
          <w:p w14:paraId="27B9A3C8" w14:textId="07AA685A" w:rsidR="005A14C2" w:rsidRDefault="003C677E" w:rsidP="005B4832">
            <w:pPr>
              <w:pStyle w:val="Header"/>
              <w:numPr>
                <w:ilvl w:val="0"/>
                <w:numId w:val="2"/>
              </w:numPr>
              <w:tabs>
                <w:tab w:val="clear" w:pos="4320"/>
                <w:tab w:val="clear" w:pos="8640"/>
              </w:tabs>
              <w:jc w:val="both"/>
            </w:pPr>
            <w:r>
              <w:t>r</w:t>
            </w:r>
            <w:r w:rsidR="008D1098">
              <w:t>equires an insurance carrier's notice of refusal to pay benefits</w:t>
            </w:r>
            <w:r w:rsidR="00C125EC">
              <w:t xml:space="preserve"> </w:t>
            </w:r>
            <w:r w:rsidR="008D1098">
              <w:t xml:space="preserve">to </w:t>
            </w:r>
            <w:r w:rsidR="00B11795">
              <w:t>include</w:t>
            </w:r>
            <w:r w:rsidR="008D1098">
              <w:t xml:space="preserve"> a statement by th</w:t>
            </w:r>
            <w:r w:rsidR="003334CC">
              <w:t>e</w:t>
            </w:r>
            <w:r w:rsidR="008D1098">
              <w:t xml:space="preserve"> carrier that includes</w:t>
            </w:r>
            <w:r w:rsidR="00B11795">
              <w:t xml:space="preserve"> the </w:t>
            </w:r>
            <w:r w:rsidR="00B11795" w:rsidRPr="000118E6">
              <w:t xml:space="preserve">specific reasons why </w:t>
            </w:r>
            <w:r w:rsidR="00C125EC">
              <w:t>the</w:t>
            </w:r>
            <w:r w:rsidR="00B11795" w:rsidRPr="000118E6">
              <w:t xml:space="preserve"> carrier is </w:t>
            </w:r>
            <w:r w:rsidR="00B11795">
              <w:t xml:space="preserve">disputing the compensability or </w:t>
            </w:r>
            <w:r w:rsidR="00C125EC">
              <w:t xml:space="preserve">the </w:t>
            </w:r>
            <w:r w:rsidR="00B11795">
              <w:t>extent of the injury and descri</w:t>
            </w:r>
            <w:r w:rsidR="008D1098">
              <w:t>bes</w:t>
            </w:r>
            <w:r w:rsidR="00B11795">
              <w:t xml:space="preserve"> the evidence that the carrier reviewed in making the determination to dispute the issue</w:t>
            </w:r>
            <w:r w:rsidR="008D1098">
              <w:t>;</w:t>
            </w:r>
          </w:p>
          <w:p w14:paraId="767A0FD3" w14:textId="53002348" w:rsidR="00315FD6" w:rsidRDefault="003C677E" w:rsidP="005B4832">
            <w:pPr>
              <w:pStyle w:val="Header"/>
              <w:numPr>
                <w:ilvl w:val="0"/>
                <w:numId w:val="2"/>
              </w:numPr>
              <w:tabs>
                <w:tab w:val="clear" w:pos="4320"/>
                <w:tab w:val="clear" w:pos="8640"/>
              </w:tabs>
              <w:jc w:val="both"/>
            </w:pPr>
            <w:r>
              <w:t>requires the division</w:t>
            </w:r>
            <w:r w:rsidR="00BE5276">
              <w:t xml:space="preserve"> to conduct a contested case hearing by videoconference on request of </w:t>
            </w:r>
            <w:r>
              <w:t>the</w:t>
            </w:r>
            <w:r w:rsidR="00BE5276">
              <w:t xml:space="preserve"> injured employee or that employee</w:t>
            </w:r>
            <w:r w:rsidR="00C125EC">
              <w:t>'</w:t>
            </w:r>
            <w:r w:rsidR="00BE5276">
              <w:t>s attorney</w:t>
            </w:r>
            <w:r w:rsidR="0082005D">
              <w:t xml:space="preserve"> and clarifies that such a hearing is exempt </w:t>
            </w:r>
            <w:r w:rsidRPr="0082005D">
              <w:t xml:space="preserve">from the </w:t>
            </w:r>
            <w:r w:rsidR="00F1790A" w:rsidRPr="0082005D">
              <w:t>prohibition</w:t>
            </w:r>
            <w:r w:rsidRPr="0082005D">
              <w:t xml:space="preserve"> </w:t>
            </w:r>
            <w:r w:rsidR="00F1790A" w:rsidRPr="0082005D">
              <w:t>against</w:t>
            </w:r>
            <w:r w:rsidRPr="0082005D">
              <w:t xml:space="preserve"> </w:t>
            </w:r>
            <w:r w:rsidR="00F1790A" w:rsidRPr="0082005D">
              <w:t>a contested case hearing being conducted more than 75 miles from the claimant</w:t>
            </w:r>
            <w:r w:rsidR="00F470CE">
              <w:t>'</w:t>
            </w:r>
            <w:r w:rsidR="00F1790A" w:rsidRPr="0082005D">
              <w:t>s residence;</w:t>
            </w:r>
          </w:p>
          <w:p w14:paraId="606FAE91" w14:textId="5D3E2601" w:rsidR="00197FA0" w:rsidRDefault="003C677E" w:rsidP="005B4832">
            <w:pPr>
              <w:pStyle w:val="Header"/>
              <w:numPr>
                <w:ilvl w:val="0"/>
                <w:numId w:val="2"/>
              </w:numPr>
              <w:tabs>
                <w:tab w:val="clear" w:pos="4320"/>
                <w:tab w:val="clear" w:pos="8640"/>
              </w:tabs>
              <w:jc w:val="both"/>
            </w:pPr>
            <w:r>
              <w:t>requires a</w:t>
            </w:r>
            <w:r w:rsidR="00C125EC">
              <w:t>n insurance</w:t>
            </w:r>
            <w:r>
              <w:t xml:space="preserve"> carrier to reimburse the </w:t>
            </w:r>
            <w:r w:rsidR="00781CFD">
              <w:t xml:space="preserve">injured </w:t>
            </w:r>
            <w:r>
              <w:t>employee</w:t>
            </w:r>
            <w:r w:rsidRPr="00197FA0">
              <w:t xml:space="preserve"> for all medical expenses incurred by the employee that</w:t>
            </w:r>
            <w:r w:rsidRPr="00197FA0">
              <w:t xml:space="preserve"> are related to the specific injury claimed by the employee</w:t>
            </w:r>
            <w:r w:rsidR="00781CFD">
              <w:t>, notwithstanding the amount of an award of benefits due in a written decision by an administrative law judge</w:t>
            </w:r>
            <w:r w:rsidR="00F470CE">
              <w:t xml:space="preserve"> in a contested case hearing</w:t>
            </w:r>
            <w:r w:rsidR="00781CFD">
              <w:t>,</w:t>
            </w:r>
            <w:r w:rsidRPr="00197FA0">
              <w:t xml:space="preserve"> </w:t>
            </w:r>
            <w:r w:rsidRPr="00F470CE">
              <w:t>if</w:t>
            </w:r>
            <w:r w:rsidR="00781CFD" w:rsidRPr="00F470CE">
              <w:t xml:space="preserve"> the following circumstances apply</w:t>
            </w:r>
            <w:r w:rsidRPr="00197FA0">
              <w:t>:</w:t>
            </w:r>
          </w:p>
          <w:p w14:paraId="78384B5B" w14:textId="4756517B" w:rsidR="00197FA0" w:rsidRDefault="003C677E" w:rsidP="005B4832">
            <w:pPr>
              <w:pStyle w:val="Header"/>
              <w:numPr>
                <w:ilvl w:val="1"/>
                <w:numId w:val="2"/>
              </w:numPr>
              <w:tabs>
                <w:tab w:val="clear" w:pos="4320"/>
                <w:tab w:val="clear" w:pos="8640"/>
              </w:tabs>
              <w:jc w:val="both"/>
            </w:pPr>
            <w:r w:rsidRPr="00197FA0">
              <w:t>the carrier denied t</w:t>
            </w:r>
            <w:r w:rsidRPr="00197FA0">
              <w:t xml:space="preserve">he employee's claim for medical benefits on or before the 60th day after </w:t>
            </w:r>
            <w:r w:rsidR="006F6798">
              <w:t xml:space="preserve">the </w:t>
            </w:r>
            <w:r w:rsidRPr="00197FA0">
              <w:t>carrier had reasonable notice of the specific injury claimed by the employee;</w:t>
            </w:r>
            <w:r w:rsidR="00F470CE">
              <w:t xml:space="preserve"> and</w:t>
            </w:r>
          </w:p>
          <w:p w14:paraId="29C7DD7B" w14:textId="2B6CDF77" w:rsidR="00DD672F" w:rsidRDefault="003C677E" w:rsidP="005B4832">
            <w:pPr>
              <w:pStyle w:val="Header"/>
              <w:numPr>
                <w:ilvl w:val="1"/>
                <w:numId w:val="2"/>
              </w:numPr>
              <w:tabs>
                <w:tab w:val="clear" w:pos="4320"/>
                <w:tab w:val="clear" w:pos="8640"/>
              </w:tabs>
              <w:jc w:val="both"/>
            </w:pPr>
            <w:r>
              <w:t>the</w:t>
            </w:r>
            <w:r w:rsidR="00197FA0" w:rsidRPr="00197FA0">
              <w:t xml:space="preserve"> administrative law judge</w:t>
            </w:r>
            <w:r>
              <w:t>'s decision</w:t>
            </w:r>
            <w:r w:rsidR="00197FA0" w:rsidRPr="00197FA0">
              <w:t xml:space="preserve"> includes a determination that the injury is compensable</w:t>
            </w:r>
            <w:r w:rsidR="00F470CE">
              <w:t>, and the decision</w:t>
            </w:r>
            <w:r w:rsidR="00197FA0" w:rsidRPr="00197FA0">
              <w:t xml:space="preserve"> is not appealed to the appeals panel and becomes final</w:t>
            </w:r>
            <w:r>
              <w:t>;</w:t>
            </w:r>
          </w:p>
          <w:p w14:paraId="464806B5" w14:textId="6CC75BE7" w:rsidR="00F470CE" w:rsidRPr="00D45E14" w:rsidRDefault="003C677E" w:rsidP="005B4832">
            <w:pPr>
              <w:pStyle w:val="Header"/>
              <w:numPr>
                <w:ilvl w:val="0"/>
                <w:numId w:val="3"/>
              </w:numPr>
              <w:tabs>
                <w:tab w:val="clear" w:pos="4320"/>
                <w:tab w:val="clear" w:pos="8640"/>
              </w:tabs>
              <w:jc w:val="both"/>
            </w:pPr>
            <w:r>
              <w:t xml:space="preserve">additionally </w:t>
            </w:r>
            <w:r w:rsidR="006F6798">
              <w:t xml:space="preserve">requires an insurance carrier that denies an </w:t>
            </w:r>
            <w:r>
              <w:t xml:space="preserve">injured </w:t>
            </w:r>
            <w:r w:rsidR="006F6798">
              <w:t xml:space="preserve">employee's claim for medical benefits on or before the 60th day after the carrier had reasonable notice of the specific injury claimed by the </w:t>
            </w:r>
            <w:r w:rsidR="006F6798" w:rsidRPr="00D45E14">
              <w:t xml:space="preserve">employee </w:t>
            </w:r>
            <w:r w:rsidRPr="00D45E14">
              <w:t>to directly reimburse the employee for all such medical expenses if either</w:t>
            </w:r>
            <w:r w:rsidR="006F6798" w:rsidRPr="00D45E14">
              <w:t>:</w:t>
            </w:r>
          </w:p>
          <w:p w14:paraId="6B54CB11" w14:textId="7CCCBD23" w:rsidR="006F6798" w:rsidRPr="00D45E14" w:rsidRDefault="003C677E" w:rsidP="005B4832">
            <w:pPr>
              <w:pStyle w:val="Header"/>
              <w:numPr>
                <w:ilvl w:val="1"/>
                <w:numId w:val="3"/>
              </w:numPr>
              <w:tabs>
                <w:tab w:val="clear" w:pos="4320"/>
                <w:tab w:val="clear" w:pos="8640"/>
              </w:tabs>
              <w:jc w:val="both"/>
            </w:pPr>
            <w:r w:rsidRPr="00D45E14">
              <w:t>the administrative law judge's determination that benefits are owed becomes final without an appeal; or</w:t>
            </w:r>
          </w:p>
          <w:p w14:paraId="2559538F" w14:textId="22F59F2B" w:rsidR="000603C2" w:rsidRPr="00F470CE" w:rsidRDefault="003C677E" w:rsidP="005B4832">
            <w:pPr>
              <w:pStyle w:val="Header"/>
              <w:numPr>
                <w:ilvl w:val="1"/>
                <w:numId w:val="3"/>
              </w:numPr>
              <w:tabs>
                <w:tab w:val="clear" w:pos="4320"/>
                <w:tab w:val="clear" w:pos="8640"/>
              </w:tabs>
              <w:jc w:val="both"/>
            </w:pPr>
            <w:r w:rsidRPr="00D45E14">
              <w:t>an appeals</w:t>
            </w:r>
            <w:r w:rsidRPr="00D45E14">
              <w:t xml:space="preserve"> panel affirms the judge's determination that the benefits are owed or reverses the judge's determination that</w:t>
            </w:r>
            <w:r w:rsidRPr="00F470CE">
              <w:t xml:space="preserve"> benefits are not owed; </w:t>
            </w:r>
          </w:p>
          <w:p w14:paraId="73263071" w14:textId="348BC410" w:rsidR="0024030A" w:rsidRPr="00F470CE" w:rsidRDefault="003C677E" w:rsidP="005B4832">
            <w:pPr>
              <w:pStyle w:val="Header"/>
              <w:numPr>
                <w:ilvl w:val="0"/>
                <w:numId w:val="3"/>
              </w:numPr>
              <w:tabs>
                <w:tab w:val="clear" w:pos="4320"/>
                <w:tab w:val="clear" w:pos="8640"/>
              </w:tabs>
              <w:jc w:val="both"/>
            </w:pPr>
            <w:r w:rsidRPr="00F470CE">
              <w:t xml:space="preserve">requires the carrier, if the appeals panel affirms the </w:t>
            </w:r>
            <w:r w:rsidR="00C946DF">
              <w:t xml:space="preserve">administrative law </w:t>
            </w:r>
            <w:r w:rsidRPr="00F470CE">
              <w:t>judge</w:t>
            </w:r>
            <w:r w:rsidR="00F241E4" w:rsidRPr="00F470CE">
              <w:t>'</w:t>
            </w:r>
            <w:r w:rsidRPr="00F470CE">
              <w:t>s decision, to directly reimburse the emp</w:t>
            </w:r>
            <w:r w:rsidRPr="00F470CE">
              <w:t>loyee for all medical expenses incurred by the employee, regardless of the amount of an award of benefits due in the written decision by the judge; and</w:t>
            </w:r>
          </w:p>
          <w:p w14:paraId="7D18CA21" w14:textId="41CFC5E8" w:rsidR="009224FF" w:rsidRDefault="003C677E" w:rsidP="005B4832">
            <w:pPr>
              <w:pStyle w:val="Header"/>
              <w:numPr>
                <w:ilvl w:val="0"/>
                <w:numId w:val="3"/>
              </w:numPr>
              <w:tabs>
                <w:tab w:val="clear" w:pos="4320"/>
                <w:tab w:val="clear" w:pos="8640"/>
              </w:tabs>
              <w:jc w:val="both"/>
            </w:pPr>
            <w:r w:rsidRPr="00F470CE">
              <w:t>requires the carrier to reimburse the employee regardless of whether the appeals panel's decision is app</w:t>
            </w:r>
            <w:r w:rsidRPr="00F470CE">
              <w:t>ealed for judicial review.</w:t>
            </w:r>
          </w:p>
          <w:p w14:paraId="5AE83809" w14:textId="12547426" w:rsidR="009224FF" w:rsidRDefault="009224FF" w:rsidP="005B4832">
            <w:pPr>
              <w:pStyle w:val="Header"/>
              <w:tabs>
                <w:tab w:val="clear" w:pos="4320"/>
                <w:tab w:val="clear" w:pos="8640"/>
              </w:tabs>
              <w:jc w:val="both"/>
            </w:pPr>
          </w:p>
          <w:p w14:paraId="4CF89A5D" w14:textId="35FE469F" w:rsidR="009224FF" w:rsidRDefault="003C677E" w:rsidP="005B4832">
            <w:pPr>
              <w:pStyle w:val="Header"/>
              <w:tabs>
                <w:tab w:val="clear" w:pos="4320"/>
                <w:tab w:val="clear" w:pos="8640"/>
              </w:tabs>
              <w:jc w:val="both"/>
            </w:pPr>
            <w:r>
              <w:t xml:space="preserve">C.S.H.B. 790 </w:t>
            </w:r>
            <w:r w:rsidRPr="00B9791B">
              <w:t>authorizes the commissioner</w:t>
            </w:r>
            <w:r w:rsidRPr="00C73E27">
              <w:t xml:space="preserve"> of workers' compensation to adopt rules relating to requirements for </w:t>
            </w:r>
            <w:r>
              <w:t xml:space="preserve">a request for a medical examination to define a compensable injury, for both insurance carrier requests </w:t>
            </w:r>
            <w:r w:rsidR="006F6798">
              <w:t xml:space="preserve">regarding any injured employee </w:t>
            </w:r>
            <w:r>
              <w:t xml:space="preserve">and requests from </w:t>
            </w:r>
            <w:r w:rsidR="006F6798">
              <w:t xml:space="preserve">an employee to which the bill's provisions apply. </w:t>
            </w:r>
          </w:p>
          <w:p w14:paraId="3F15F3C2" w14:textId="77777777" w:rsidR="005A3350" w:rsidRDefault="005A3350" w:rsidP="005B4832">
            <w:pPr>
              <w:pStyle w:val="Header"/>
              <w:tabs>
                <w:tab w:val="clear" w:pos="4320"/>
                <w:tab w:val="clear" w:pos="8640"/>
              </w:tabs>
              <w:jc w:val="both"/>
            </w:pPr>
          </w:p>
          <w:p w14:paraId="6C26645E" w14:textId="77777777" w:rsidR="008423E4" w:rsidRDefault="003C677E" w:rsidP="005B4832">
            <w:pPr>
              <w:pStyle w:val="Header"/>
              <w:tabs>
                <w:tab w:val="clear" w:pos="4320"/>
                <w:tab w:val="clear" w:pos="8640"/>
              </w:tabs>
              <w:jc w:val="both"/>
            </w:pPr>
            <w:r>
              <w:t>C.S.</w:t>
            </w:r>
            <w:r w:rsidR="00BE5276">
              <w:t xml:space="preserve">H.B. 790 applies </w:t>
            </w:r>
            <w:r w:rsidR="00F241E4">
              <w:t xml:space="preserve">only </w:t>
            </w:r>
            <w:r w:rsidR="00BE5276" w:rsidRPr="00B016F1">
              <w:t>to a claim for workers' compensation benefits based on a compensable injury</w:t>
            </w:r>
            <w:r w:rsidR="00BE5276">
              <w:t xml:space="preserve"> that occurs</w:t>
            </w:r>
            <w:r w:rsidR="00BE5276" w:rsidRPr="00ED7409">
              <w:t xml:space="preserve"> on or after the </w:t>
            </w:r>
            <w:r w:rsidR="00BE5276">
              <w:t xml:space="preserve">bill's </w:t>
            </w:r>
            <w:r w:rsidR="00BE5276" w:rsidRPr="00ED7409">
              <w:t>effective date</w:t>
            </w:r>
            <w:r w:rsidR="00BE5276">
              <w:t>. The bill</w:t>
            </w:r>
            <w:r w:rsidR="00F241E4">
              <w:t>'</w:t>
            </w:r>
            <w:r w:rsidR="00BE5276">
              <w:t xml:space="preserve">s provisions </w:t>
            </w:r>
            <w:r w:rsidR="00F241E4">
              <w:t xml:space="preserve">relating to the conduct of certain contested case hearings by videoconference </w:t>
            </w:r>
            <w:r w:rsidR="00BE5276">
              <w:t>apply</w:t>
            </w:r>
            <w:r w:rsidR="008E057A">
              <w:t xml:space="preserve"> only</w:t>
            </w:r>
            <w:r w:rsidR="00BE5276">
              <w:t xml:space="preserve"> to a hearing held on or after the bill</w:t>
            </w:r>
            <w:r w:rsidR="00F241E4">
              <w:t>'</w:t>
            </w:r>
            <w:r w:rsidR="00BE5276">
              <w:t>s effective date</w:t>
            </w:r>
            <w:r w:rsidR="00ED7409">
              <w:t>.</w:t>
            </w:r>
          </w:p>
          <w:p w14:paraId="6304EE5A" w14:textId="6FDC2939" w:rsidR="005B4832" w:rsidRPr="00BE5276" w:rsidRDefault="005B4832" w:rsidP="005B4832">
            <w:pPr>
              <w:pStyle w:val="Header"/>
              <w:tabs>
                <w:tab w:val="clear" w:pos="4320"/>
                <w:tab w:val="clear" w:pos="8640"/>
              </w:tabs>
              <w:jc w:val="both"/>
            </w:pPr>
          </w:p>
        </w:tc>
      </w:tr>
      <w:tr w:rsidR="009F3D93" w14:paraId="39497891" w14:textId="77777777" w:rsidTr="00345119">
        <w:tc>
          <w:tcPr>
            <w:tcW w:w="9576" w:type="dxa"/>
          </w:tcPr>
          <w:p w14:paraId="52601614" w14:textId="77777777" w:rsidR="008423E4" w:rsidRPr="00A8133F" w:rsidRDefault="003C677E" w:rsidP="005B4832">
            <w:pPr>
              <w:rPr>
                <w:b/>
              </w:rPr>
            </w:pPr>
            <w:r w:rsidRPr="009C1E9A">
              <w:rPr>
                <w:b/>
                <w:u w:val="single"/>
              </w:rPr>
              <w:t>EFFECTIVE DATE</w:t>
            </w:r>
            <w:r>
              <w:rPr>
                <w:b/>
              </w:rPr>
              <w:t xml:space="preserve"> </w:t>
            </w:r>
          </w:p>
          <w:p w14:paraId="4B3BDD8C" w14:textId="77777777" w:rsidR="008423E4" w:rsidRDefault="008423E4" w:rsidP="005B4832"/>
          <w:p w14:paraId="52AF2D5C" w14:textId="6EAB5457" w:rsidR="008423E4" w:rsidRPr="003624F2" w:rsidRDefault="003C677E" w:rsidP="005B4832">
            <w:pPr>
              <w:pStyle w:val="Header"/>
              <w:tabs>
                <w:tab w:val="clear" w:pos="4320"/>
                <w:tab w:val="clear" w:pos="8640"/>
              </w:tabs>
              <w:jc w:val="both"/>
            </w:pPr>
            <w:r>
              <w:t>September 1, 2023.</w:t>
            </w:r>
          </w:p>
          <w:p w14:paraId="256BF2AC" w14:textId="77777777" w:rsidR="008423E4" w:rsidRPr="00233FDB" w:rsidRDefault="008423E4" w:rsidP="005B4832">
            <w:pPr>
              <w:rPr>
                <w:b/>
              </w:rPr>
            </w:pPr>
          </w:p>
        </w:tc>
      </w:tr>
      <w:tr w:rsidR="009F3D93" w14:paraId="5C7F69EA" w14:textId="77777777" w:rsidTr="00345119">
        <w:tc>
          <w:tcPr>
            <w:tcW w:w="9576" w:type="dxa"/>
          </w:tcPr>
          <w:p w14:paraId="64DF6936" w14:textId="77777777" w:rsidR="0013750F" w:rsidRDefault="003C677E" w:rsidP="005B4832">
            <w:pPr>
              <w:jc w:val="both"/>
              <w:rPr>
                <w:b/>
                <w:u w:val="single"/>
              </w:rPr>
            </w:pPr>
            <w:r>
              <w:rPr>
                <w:b/>
                <w:u w:val="single"/>
              </w:rPr>
              <w:t>COMPARISON OF INTRODUCED AND SUBSTITUTE</w:t>
            </w:r>
          </w:p>
          <w:p w14:paraId="2B85101E" w14:textId="77777777" w:rsidR="00BE5276" w:rsidRDefault="00BE5276" w:rsidP="005B4832">
            <w:pPr>
              <w:jc w:val="both"/>
            </w:pPr>
          </w:p>
          <w:p w14:paraId="571582C7" w14:textId="6167BED2" w:rsidR="00BE5276" w:rsidRDefault="003C677E" w:rsidP="005B4832">
            <w:pPr>
              <w:jc w:val="both"/>
            </w:pPr>
            <w:r>
              <w:t xml:space="preserve">While C.S.H.B. </w:t>
            </w:r>
            <w:r w:rsidR="00BC017B">
              <w:t>790</w:t>
            </w:r>
            <w:r>
              <w:t xml:space="preserve"> may differ from the introduced in minor or nonsubstantive ways, the following summarizes the substantial differences between the introduced and committee substitute versions of the bill.</w:t>
            </w:r>
          </w:p>
          <w:p w14:paraId="5FEA99EB" w14:textId="056591A5" w:rsidR="00A43D68" w:rsidRDefault="00A43D68" w:rsidP="005B4832">
            <w:pPr>
              <w:jc w:val="both"/>
            </w:pPr>
          </w:p>
          <w:p w14:paraId="3E11513E" w14:textId="371C8B08" w:rsidR="00A43D68" w:rsidRDefault="003C677E" w:rsidP="005B4832">
            <w:pPr>
              <w:jc w:val="both"/>
            </w:pPr>
            <w:r w:rsidRPr="00630AEF">
              <w:t>Whereas</w:t>
            </w:r>
            <w:r w:rsidR="00630AEF">
              <w:t xml:space="preserve"> some of</w:t>
            </w:r>
            <w:r w:rsidRPr="00630AEF">
              <w:t xml:space="preserve"> the introduced </w:t>
            </w:r>
            <w:r w:rsidR="00630AEF">
              <w:t xml:space="preserve">version's </w:t>
            </w:r>
            <w:r w:rsidRPr="00630AEF">
              <w:t>provisio</w:t>
            </w:r>
            <w:r w:rsidRPr="00630AEF">
              <w:t xml:space="preserve">ns apply generally to any injured employee </w:t>
            </w:r>
            <w:r w:rsidR="00630AEF">
              <w:t>and some</w:t>
            </w:r>
            <w:r w:rsidRPr="00630AEF">
              <w:t xml:space="preserve"> apply to an injured employee who is a custodial officer, a detention officer, an emergency medical technician, a firefighter, or a peace officer, the substitute applies only to an injured employee who is </w:t>
            </w:r>
            <w:r w:rsidRPr="00630AEF">
              <w:t>a custodial officer, a detention officer, an emergency medical technician, a firefighter, or a peace officer.</w:t>
            </w:r>
            <w:r>
              <w:t xml:space="preserve"> </w:t>
            </w:r>
          </w:p>
          <w:p w14:paraId="54F73C3A" w14:textId="77777777" w:rsidR="00332017" w:rsidRDefault="00332017" w:rsidP="005B4832"/>
          <w:p w14:paraId="15940DD7" w14:textId="7F79510F" w:rsidR="00332017" w:rsidRDefault="003C677E" w:rsidP="005B4832">
            <w:pPr>
              <w:jc w:val="both"/>
            </w:pPr>
            <w:r>
              <w:t>The</w:t>
            </w:r>
            <w:r w:rsidR="00BE5276">
              <w:t xml:space="preserve"> </w:t>
            </w:r>
            <w:r w:rsidR="00BE5276" w:rsidRPr="0013559A">
              <w:t xml:space="preserve">substitute </w:t>
            </w:r>
            <w:r w:rsidR="004433F4">
              <w:t xml:space="preserve">does not include the requirement from the introduced for the first request of a designated doctor's examination by an insurance carrier, an injured employee, or the division to include a request to the designated doctor to provide an opinion on the extent of the compensable injury. </w:t>
            </w:r>
            <w:r w:rsidR="0013340B">
              <w:t xml:space="preserve">The substitute </w:t>
            </w:r>
            <w:r w:rsidR="00BE5276">
              <w:t>includes</w:t>
            </w:r>
            <w:r w:rsidR="00F25588">
              <w:t xml:space="preserve"> the following</w:t>
            </w:r>
            <w:r w:rsidR="0013340B">
              <w:t xml:space="preserve"> </w:t>
            </w:r>
            <w:r w:rsidR="00BE5276">
              <w:t>provisions</w:t>
            </w:r>
            <w:r w:rsidR="00F25588">
              <w:t xml:space="preserve"> instead, which did not appear in</w:t>
            </w:r>
            <w:r w:rsidR="00BE5276">
              <w:t xml:space="preserve"> the introduced:</w:t>
            </w:r>
          </w:p>
          <w:p w14:paraId="27432853" w14:textId="39D1ED30" w:rsidR="00BE5276" w:rsidRDefault="003C677E" w:rsidP="005B4832">
            <w:pPr>
              <w:pStyle w:val="ListParagraph"/>
              <w:numPr>
                <w:ilvl w:val="0"/>
                <w:numId w:val="1"/>
              </w:numPr>
              <w:contextualSpacing w:val="0"/>
              <w:jc w:val="both"/>
            </w:pPr>
            <w:r>
              <w:t xml:space="preserve">an </w:t>
            </w:r>
            <w:r>
              <w:t xml:space="preserve">authorization for </w:t>
            </w:r>
            <w:r w:rsidRPr="00090CBB">
              <w:t>the</w:t>
            </w:r>
            <w:r>
              <w:t xml:space="preserve"> </w:t>
            </w:r>
            <w:r w:rsidRPr="00090CBB">
              <w:t>division</w:t>
            </w:r>
            <w:r>
              <w:t>, o</w:t>
            </w:r>
            <w:r w:rsidRPr="00090CBB">
              <w:t>n request by an</w:t>
            </w:r>
            <w:r w:rsidR="00007C0D">
              <w:t xml:space="preserve"> applicable</w:t>
            </w:r>
            <w:r w:rsidRPr="00090CBB">
              <w:t xml:space="preserve"> injured employee, </w:t>
            </w:r>
            <w:r>
              <w:t>to</w:t>
            </w:r>
            <w:r w:rsidRPr="00090CBB">
              <w:t xml:space="preserve"> authorize the performance of a medical examination to define the compensable injury, regardless of whether a</w:t>
            </w:r>
            <w:r>
              <w:t xml:space="preserve"> medical</w:t>
            </w:r>
            <w:r w:rsidRPr="00090CBB">
              <w:t xml:space="preserve"> examination </w:t>
            </w:r>
            <w:r w:rsidR="00400971">
              <w:t xml:space="preserve">requested by the insurance carrier </w:t>
            </w:r>
            <w:r w:rsidRPr="00090CBB">
              <w:t>was previou</w:t>
            </w:r>
            <w:r w:rsidRPr="00090CBB">
              <w:t>sly performed</w:t>
            </w:r>
            <w:r>
              <w:t>; and</w:t>
            </w:r>
          </w:p>
          <w:p w14:paraId="1ACF773D" w14:textId="3224ADCC" w:rsidR="00BE5276" w:rsidRDefault="003C677E" w:rsidP="005B4832">
            <w:pPr>
              <w:pStyle w:val="ListParagraph"/>
              <w:numPr>
                <w:ilvl w:val="0"/>
                <w:numId w:val="1"/>
              </w:numPr>
              <w:contextualSpacing w:val="0"/>
              <w:jc w:val="both"/>
            </w:pPr>
            <w:r>
              <w:t xml:space="preserve">an </w:t>
            </w:r>
            <w:r w:rsidRPr="001C23DC">
              <w:t>authoriz</w:t>
            </w:r>
            <w:r>
              <w:t>ation for</w:t>
            </w:r>
            <w:r w:rsidRPr="001C23DC">
              <w:t xml:space="preserve"> the commissioner</w:t>
            </w:r>
            <w:r>
              <w:t xml:space="preserve"> </w:t>
            </w:r>
            <w:r w:rsidRPr="001C23DC">
              <w:t xml:space="preserve">to adopt rules relating to requirements for a request for </w:t>
            </w:r>
            <w:r w:rsidR="00400971">
              <w:t xml:space="preserve">such an </w:t>
            </w:r>
            <w:r w:rsidRPr="001C23DC">
              <w:t>examination</w:t>
            </w:r>
            <w:r>
              <w:t xml:space="preserve"> by an insurance carrier or applicable injured employee.</w:t>
            </w:r>
          </w:p>
          <w:p w14:paraId="216E1719" w14:textId="77777777" w:rsidR="00807185" w:rsidRDefault="00807185" w:rsidP="005B4832">
            <w:pPr>
              <w:jc w:val="both"/>
            </w:pPr>
          </w:p>
          <w:p w14:paraId="304B586C" w14:textId="64D86EE7" w:rsidR="00BE5276" w:rsidRDefault="003C677E" w:rsidP="005B4832">
            <w:pPr>
              <w:jc w:val="both"/>
            </w:pPr>
            <w:r w:rsidRPr="00EA176F">
              <w:t>Both versions include</w:t>
            </w:r>
            <w:r>
              <w:t xml:space="preserve"> provisions relating to the conduct of</w:t>
            </w:r>
            <w:r w:rsidR="00F639BC">
              <w:t xml:space="preserve"> a</w:t>
            </w:r>
            <w:r>
              <w:t xml:space="preserve"> co</w:t>
            </w:r>
            <w:r>
              <w:t xml:space="preserve">ntested case hearing by videoconference. However, the substitute requires the division to conduct such a hearing by videoconference on request of </w:t>
            </w:r>
            <w:r w:rsidRPr="00F25588">
              <w:t>an applicable injured employee</w:t>
            </w:r>
            <w:r w:rsidR="00F639BC">
              <w:t xml:space="preserve"> or the employee's attorney</w:t>
            </w:r>
            <w:r>
              <w:t>, whereas the introduced authorized a party or witnes</w:t>
            </w:r>
            <w:r>
              <w:t>s to attend a hearing telephonically or by videoconference if good cause exists, as determined by the administrative law judge, and provided that an attorney representing a party in such a hearing must be permitted to do so telephonically or by videoconfer</w:t>
            </w:r>
            <w:r>
              <w:t xml:space="preserve">ence. </w:t>
            </w:r>
            <w:r w:rsidR="00CE1123">
              <w:t xml:space="preserve">The substitute also includes a provision that did not appear in the introduced making the videoconferencing provisions applicable to a hearing held on or after the bill's effective date. </w:t>
            </w:r>
          </w:p>
          <w:p w14:paraId="558C032C" w14:textId="77777777" w:rsidR="00BE5276" w:rsidRDefault="00BE5276" w:rsidP="005B4832">
            <w:pPr>
              <w:jc w:val="both"/>
            </w:pPr>
          </w:p>
          <w:p w14:paraId="776283F3" w14:textId="449CD07A" w:rsidR="00BE5276" w:rsidRDefault="003C677E" w:rsidP="005B4832">
            <w:pPr>
              <w:jc w:val="both"/>
            </w:pPr>
            <w:r w:rsidRPr="003C37A6">
              <w:t>The introduced</w:t>
            </w:r>
            <w:r>
              <w:t xml:space="preserve"> </w:t>
            </w:r>
            <w:r w:rsidR="00930685">
              <w:t>required</w:t>
            </w:r>
            <w:r>
              <w:t xml:space="preserve"> an insurance carrier to</w:t>
            </w:r>
            <w:r w:rsidR="00C53C7F">
              <w:t xml:space="preserve"> include in a notice </w:t>
            </w:r>
            <w:r w:rsidR="00912258">
              <w:t>regarding</w:t>
            </w:r>
            <w:r w:rsidR="00C53C7F">
              <w:t xml:space="preserve"> the carrier's refusal to pay a claim </w:t>
            </w:r>
            <w:r w:rsidR="00630AEF">
              <w:t xml:space="preserve">for any injured employee </w:t>
            </w:r>
            <w:r w:rsidR="00930685">
              <w:t xml:space="preserve">the specific reasons why the carrier is contesting the claim, including </w:t>
            </w:r>
            <w:r w:rsidRPr="006966E6">
              <w:t>any disputes in the cause of the injury, the extent of the injury</w:t>
            </w:r>
            <w:r w:rsidR="00930685">
              <w:t>,</w:t>
            </w:r>
            <w:r w:rsidRPr="006966E6">
              <w:t xml:space="preserve"> or the treatment of the injury.</w:t>
            </w:r>
            <w:r>
              <w:t xml:space="preserve"> </w:t>
            </w:r>
            <w:r w:rsidR="00930685">
              <w:t>The substitute includes a similar provision</w:t>
            </w:r>
            <w:r w:rsidR="003C37A6">
              <w:t>, but it only applies to the specified employees and only</w:t>
            </w:r>
            <w:r w:rsidR="00930685">
              <w:t xml:space="preserve"> requires</w:t>
            </w:r>
            <w:r w:rsidR="00EE6E79">
              <w:t xml:space="preserve"> that</w:t>
            </w:r>
            <w:r w:rsidR="00930685">
              <w:t xml:space="preserve"> the notice</w:t>
            </w:r>
            <w:r w:rsidR="00EE6E79">
              <w:t xml:space="preserve"> </w:t>
            </w:r>
            <w:r w:rsidR="00930685">
              <w:t xml:space="preserve">include the specific reasons why the carrier </w:t>
            </w:r>
            <w:r w:rsidR="00930685" w:rsidRPr="008C2E0F">
              <w:t>is disputing the compensability of the injury or the extent of injury</w:t>
            </w:r>
            <w:r w:rsidR="00807185" w:rsidRPr="008C2E0F">
              <w:t>. The substitute also requires the notice to describe the evidence that the carrier reviewed in making the determination to dispute the issue.</w:t>
            </w:r>
            <w:r w:rsidR="00930685">
              <w:t xml:space="preserve"> </w:t>
            </w:r>
          </w:p>
          <w:p w14:paraId="71A1978A" w14:textId="4C17D7DA" w:rsidR="00156375" w:rsidRDefault="00156375" w:rsidP="005B4832">
            <w:pPr>
              <w:jc w:val="both"/>
            </w:pPr>
          </w:p>
          <w:p w14:paraId="49C0AF52" w14:textId="2CDA5C83" w:rsidR="00156375" w:rsidRDefault="003C677E" w:rsidP="005B4832">
            <w:pPr>
              <w:jc w:val="both"/>
            </w:pPr>
            <w:r>
              <w:t xml:space="preserve">The substitute </w:t>
            </w:r>
            <w:r w:rsidR="00EB250E">
              <w:t xml:space="preserve">does not include a provision from the introduced establishing that an insurance carrier that does not contest or deny the extent of a compensable injury in writing on or before the 60th day on which the carrier received reasonable notice of the specific claimed injury waives its right to contest or deny the extent of </w:t>
            </w:r>
            <w:r w:rsidR="00EB250E" w:rsidRPr="00EB250E">
              <w:t xml:space="preserve">the specific injury claimed by the injured </w:t>
            </w:r>
            <w:r w:rsidR="00F2244A">
              <w:t>employee</w:t>
            </w:r>
            <w:r w:rsidR="00EB250E" w:rsidRPr="00EB250E">
              <w:t xml:space="preserve"> or reasonably reflected in a review of the injured </w:t>
            </w:r>
            <w:r w:rsidR="00F2244A">
              <w:t>employee'</w:t>
            </w:r>
            <w:r w:rsidR="00EB250E" w:rsidRPr="00EB250E">
              <w:t>s medical records.</w:t>
            </w:r>
          </w:p>
          <w:p w14:paraId="4DC8A812" w14:textId="15F27956" w:rsidR="00BE5276" w:rsidRDefault="00BE5276" w:rsidP="005B4832">
            <w:pPr>
              <w:jc w:val="both"/>
            </w:pPr>
          </w:p>
          <w:p w14:paraId="7D6F6543" w14:textId="79C22AC9" w:rsidR="00927413" w:rsidRDefault="003C677E" w:rsidP="005B4832">
            <w:pPr>
              <w:jc w:val="both"/>
            </w:pPr>
            <w:r>
              <w:t>The substitute does not include a pr</w:t>
            </w:r>
            <w:r>
              <w:t xml:space="preserve">ovision from the introduced requiring the division to adopt the rules necessary to comply </w:t>
            </w:r>
            <w:r w:rsidRPr="00EE6E79">
              <w:t>with</w:t>
            </w:r>
            <w:r w:rsidR="000F3BAB">
              <w:t xml:space="preserve"> certain of</w:t>
            </w:r>
            <w:r w:rsidRPr="00EE6E79">
              <w:t xml:space="preserve"> the introduced version's changes regarding the initiation of </w:t>
            </w:r>
            <w:r w:rsidR="000F3BAB">
              <w:t>benefits</w:t>
            </w:r>
            <w:r w:rsidRPr="00EE6E79">
              <w:t xml:space="preserve"> </w:t>
            </w:r>
            <w:r w:rsidR="000F3BAB">
              <w:t>and a carrier's refusal to pay</w:t>
            </w:r>
            <w:r w:rsidRPr="00EE6E79">
              <w:t>.</w:t>
            </w:r>
            <w:r>
              <w:t xml:space="preserve"> </w:t>
            </w:r>
          </w:p>
          <w:p w14:paraId="01669F22" w14:textId="77777777" w:rsidR="00927413" w:rsidRDefault="00927413" w:rsidP="005B4832">
            <w:pPr>
              <w:jc w:val="both"/>
            </w:pPr>
          </w:p>
          <w:p w14:paraId="052726AF" w14:textId="0A8668BE" w:rsidR="00784F1B" w:rsidRDefault="003C677E" w:rsidP="005B4832">
            <w:pPr>
              <w:jc w:val="both"/>
            </w:pPr>
            <w:r>
              <w:t>Both versions provide for an insurance carrier</w:t>
            </w:r>
            <w:r>
              <w:t xml:space="preserve"> that denies a claim on or before the 60th day on which the carrier </w:t>
            </w:r>
            <w:r w:rsidRPr="00C563A8">
              <w:t xml:space="preserve">had reasonable notice of the specific injury claimed by the employee </w:t>
            </w:r>
            <w:r>
              <w:t xml:space="preserve">to reimburse the injured employee </w:t>
            </w:r>
            <w:r w:rsidRPr="00C563A8">
              <w:t xml:space="preserve">for all medical expenses incurred by the employee that are related to the specific </w:t>
            </w:r>
            <w:r>
              <w:t>cl</w:t>
            </w:r>
            <w:r>
              <w:t xml:space="preserve">aimed </w:t>
            </w:r>
            <w:r w:rsidRPr="00C563A8">
              <w:t>injury</w:t>
            </w:r>
            <w:r>
              <w:t xml:space="preserve"> under certain circumstances. However, the introduced </w:t>
            </w:r>
            <w:r w:rsidR="00E85232">
              <w:t xml:space="preserve">applied to any injured employee and </w:t>
            </w:r>
            <w:r>
              <w:t xml:space="preserve">required such reimbursement </w:t>
            </w:r>
            <w:r w:rsidR="00D407F8">
              <w:t xml:space="preserve">if </w:t>
            </w:r>
            <w:r>
              <w:t>an administrative law judge determines that the claimed injury is compensable</w:t>
            </w:r>
            <w:r w:rsidR="00D407F8">
              <w:t xml:space="preserve">, </w:t>
            </w:r>
            <w:r w:rsidR="00B9791B">
              <w:t xml:space="preserve">whereas </w:t>
            </w:r>
            <w:r w:rsidR="00D407F8">
              <w:t xml:space="preserve">the substitute </w:t>
            </w:r>
            <w:r w:rsidR="00E85232">
              <w:t xml:space="preserve">applies only </w:t>
            </w:r>
            <w:r w:rsidR="00E85232" w:rsidRPr="00B9791B">
              <w:t>to the specified employees</w:t>
            </w:r>
            <w:r w:rsidR="00E85232">
              <w:t xml:space="preserve"> and </w:t>
            </w:r>
            <w:r w:rsidR="00D407F8">
              <w:t xml:space="preserve">requires </w:t>
            </w:r>
            <w:r w:rsidR="00E85232">
              <w:t xml:space="preserve">reimbursement </w:t>
            </w:r>
            <w:r w:rsidR="00D407F8">
              <w:t>in the following circumstances:</w:t>
            </w:r>
          </w:p>
          <w:p w14:paraId="60D21D77" w14:textId="6F173928" w:rsidR="004D2A08" w:rsidRDefault="003C677E" w:rsidP="005B4832">
            <w:pPr>
              <w:pStyle w:val="ListParagraph"/>
              <w:numPr>
                <w:ilvl w:val="0"/>
                <w:numId w:val="5"/>
              </w:numPr>
              <w:contextualSpacing w:val="0"/>
              <w:jc w:val="both"/>
            </w:pPr>
            <w:r>
              <w:t xml:space="preserve">if </w:t>
            </w:r>
            <w:r w:rsidR="00D407F8">
              <w:t>the administrative law judge's decision includes a determination that the injury is compensable and the decision is not appealed to the appeals panel and becomes final;</w:t>
            </w:r>
          </w:p>
          <w:p w14:paraId="566A40FF" w14:textId="0AC5B48C" w:rsidR="009E233F" w:rsidRDefault="003C677E" w:rsidP="005B4832">
            <w:pPr>
              <w:pStyle w:val="ListParagraph"/>
              <w:numPr>
                <w:ilvl w:val="0"/>
                <w:numId w:val="5"/>
              </w:numPr>
              <w:contextualSpacing w:val="0"/>
              <w:jc w:val="both"/>
            </w:pPr>
            <w:r w:rsidRPr="008C2E0F">
              <w:t xml:space="preserve">if </w:t>
            </w:r>
            <w:r w:rsidR="00D407F8" w:rsidRPr="007564DD">
              <w:t>the administrative law judge's determination that benefits are owed becomes final without an appeal;</w:t>
            </w:r>
          </w:p>
          <w:p w14:paraId="07195619" w14:textId="10A1BB6A" w:rsidR="00D407F8" w:rsidRDefault="003C677E" w:rsidP="005B4832">
            <w:pPr>
              <w:pStyle w:val="ListParagraph"/>
              <w:numPr>
                <w:ilvl w:val="0"/>
                <w:numId w:val="5"/>
              </w:numPr>
              <w:contextualSpacing w:val="0"/>
              <w:jc w:val="both"/>
            </w:pPr>
            <w:r>
              <w:t>if the appeals panel affirms the administrative law judge's determination that the benefits are owed; or</w:t>
            </w:r>
          </w:p>
          <w:p w14:paraId="39255C5C" w14:textId="17C6F55F" w:rsidR="00D407F8" w:rsidRDefault="003C677E" w:rsidP="005B4832">
            <w:pPr>
              <w:pStyle w:val="ListParagraph"/>
              <w:numPr>
                <w:ilvl w:val="0"/>
                <w:numId w:val="5"/>
              </w:numPr>
              <w:contextualSpacing w:val="0"/>
              <w:jc w:val="both"/>
            </w:pPr>
            <w:r>
              <w:t>if the appeals panel reverses th</w:t>
            </w:r>
            <w:r>
              <w:t xml:space="preserve">e administrative law judge's determination that the benefits are not owed. </w:t>
            </w:r>
          </w:p>
          <w:p w14:paraId="628C91FF" w14:textId="6DF845E3" w:rsidR="00D407F8" w:rsidRDefault="003C677E" w:rsidP="005B4832">
            <w:pPr>
              <w:jc w:val="both"/>
            </w:pPr>
            <w:r>
              <w:t xml:space="preserve">The </w:t>
            </w:r>
            <w:r w:rsidR="00A472F8">
              <w:t xml:space="preserve">substitute includes provisions that did not appear in the introduced establishing that reimbursement of all applicable medical expenses is required regardless of the amount of an award of benefits in the administrative law judge's decision and regardless of whether the appeals panel's decision is appealed for judicial review. </w:t>
            </w:r>
          </w:p>
          <w:p w14:paraId="7EFA22D1" w14:textId="77777777" w:rsidR="004D2A08" w:rsidRDefault="004D2A08" w:rsidP="005B4832">
            <w:pPr>
              <w:jc w:val="both"/>
            </w:pPr>
          </w:p>
          <w:p w14:paraId="3EA0C21F" w14:textId="63743054" w:rsidR="003F49E8" w:rsidRDefault="003C677E" w:rsidP="005B4832">
            <w:pPr>
              <w:jc w:val="both"/>
            </w:pPr>
            <w:r>
              <w:t xml:space="preserve">Whereas the introduced </w:t>
            </w:r>
            <w:r w:rsidR="00784F1B">
              <w:t>made its provisions applicable</w:t>
            </w:r>
            <w:r>
              <w:t xml:space="preserve"> to a claim for benefits</w:t>
            </w:r>
            <w:r w:rsidR="00784F1B">
              <w:t>,</w:t>
            </w:r>
            <w:r>
              <w:t xml:space="preserve"> compensation</w:t>
            </w:r>
            <w:r w:rsidR="00784F1B">
              <w:t>,</w:t>
            </w:r>
            <w:r>
              <w:t xml:space="preserve"> or assist</w:t>
            </w:r>
            <w:r>
              <w:t xml:space="preserve">ance brought on or after the bill's effective date, the substitute applies to a claim for workers' compensation benefits based on a compensable injury that occurs on or after the bill's effective date. </w:t>
            </w:r>
          </w:p>
          <w:p w14:paraId="168CF2E7" w14:textId="71A1ACC3" w:rsidR="003F49E8" w:rsidRDefault="003F49E8" w:rsidP="005B4832">
            <w:pPr>
              <w:jc w:val="both"/>
            </w:pPr>
          </w:p>
          <w:p w14:paraId="626DA442" w14:textId="09B8CDFA" w:rsidR="003F49E8" w:rsidRDefault="003C677E" w:rsidP="005B4832">
            <w:pPr>
              <w:jc w:val="both"/>
            </w:pPr>
            <w:r>
              <w:t>The substitute does not include language from the in</w:t>
            </w:r>
            <w:r>
              <w:t xml:space="preserve">troduced providing for the possible immediate effect of the bill if it receives the requisite constitutional vote.  </w:t>
            </w:r>
          </w:p>
          <w:p w14:paraId="5D8F460E" w14:textId="5DBF6DBA" w:rsidR="00BE5276" w:rsidRPr="00BE5276" w:rsidRDefault="00BE5276" w:rsidP="005B4832">
            <w:pPr>
              <w:jc w:val="both"/>
            </w:pPr>
          </w:p>
        </w:tc>
      </w:tr>
      <w:tr w:rsidR="009F3D93" w14:paraId="337FE090" w14:textId="77777777" w:rsidTr="00345119">
        <w:tc>
          <w:tcPr>
            <w:tcW w:w="9576" w:type="dxa"/>
          </w:tcPr>
          <w:p w14:paraId="233B42D6" w14:textId="77777777" w:rsidR="0013750F" w:rsidRPr="009C1E9A" w:rsidRDefault="0013750F" w:rsidP="005B4832">
            <w:pPr>
              <w:rPr>
                <w:b/>
                <w:u w:val="single"/>
              </w:rPr>
            </w:pPr>
          </w:p>
        </w:tc>
      </w:tr>
      <w:tr w:rsidR="009F3D93" w14:paraId="1BDF21ED" w14:textId="77777777" w:rsidTr="00345119">
        <w:tc>
          <w:tcPr>
            <w:tcW w:w="9576" w:type="dxa"/>
          </w:tcPr>
          <w:p w14:paraId="087C1931" w14:textId="77777777" w:rsidR="0013750F" w:rsidRPr="0013750F" w:rsidRDefault="0013750F" w:rsidP="005B4832">
            <w:pPr>
              <w:jc w:val="both"/>
            </w:pPr>
          </w:p>
        </w:tc>
      </w:tr>
    </w:tbl>
    <w:p w14:paraId="52A32279" w14:textId="77777777" w:rsidR="008423E4" w:rsidRPr="00BE0E75" w:rsidRDefault="008423E4" w:rsidP="005B4832">
      <w:pPr>
        <w:jc w:val="both"/>
        <w:rPr>
          <w:rFonts w:ascii="Arial" w:hAnsi="Arial"/>
          <w:sz w:val="16"/>
          <w:szCs w:val="16"/>
        </w:rPr>
      </w:pPr>
    </w:p>
    <w:p w14:paraId="576E66F4" w14:textId="77777777" w:rsidR="004108C3" w:rsidRPr="008423E4" w:rsidRDefault="004108C3" w:rsidP="005B483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F64B" w14:textId="77777777" w:rsidR="00000000" w:rsidRDefault="003C677E">
      <w:r>
        <w:separator/>
      </w:r>
    </w:p>
  </w:endnote>
  <w:endnote w:type="continuationSeparator" w:id="0">
    <w:p w14:paraId="3A8AF41C" w14:textId="77777777" w:rsidR="00000000" w:rsidRDefault="003C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B8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F3D93" w14:paraId="03256079" w14:textId="77777777" w:rsidTr="009C1E9A">
      <w:trPr>
        <w:cantSplit/>
      </w:trPr>
      <w:tc>
        <w:tcPr>
          <w:tcW w:w="0" w:type="pct"/>
        </w:tcPr>
        <w:p w14:paraId="48B9D95B" w14:textId="77777777" w:rsidR="00137D90" w:rsidRDefault="00137D90" w:rsidP="009C1E9A">
          <w:pPr>
            <w:pStyle w:val="Footer"/>
            <w:tabs>
              <w:tab w:val="clear" w:pos="8640"/>
              <w:tab w:val="right" w:pos="9360"/>
            </w:tabs>
          </w:pPr>
        </w:p>
      </w:tc>
      <w:tc>
        <w:tcPr>
          <w:tcW w:w="2395" w:type="pct"/>
        </w:tcPr>
        <w:p w14:paraId="1CD45832" w14:textId="77777777" w:rsidR="00137D90" w:rsidRDefault="00137D90" w:rsidP="009C1E9A">
          <w:pPr>
            <w:pStyle w:val="Footer"/>
            <w:tabs>
              <w:tab w:val="clear" w:pos="8640"/>
              <w:tab w:val="right" w:pos="9360"/>
            </w:tabs>
          </w:pPr>
        </w:p>
        <w:p w14:paraId="19482B5E" w14:textId="77777777" w:rsidR="001A4310" w:rsidRDefault="001A4310" w:rsidP="009C1E9A">
          <w:pPr>
            <w:pStyle w:val="Footer"/>
            <w:tabs>
              <w:tab w:val="clear" w:pos="8640"/>
              <w:tab w:val="right" w:pos="9360"/>
            </w:tabs>
          </w:pPr>
        </w:p>
        <w:p w14:paraId="00B46748" w14:textId="77777777" w:rsidR="00137D90" w:rsidRDefault="00137D90" w:rsidP="009C1E9A">
          <w:pPr>
            <w:pStyle w:val="Footer"/>
            <w:tabs>
              <w:tab w:val="clear" w:pos="8640"/>
              <w:tab w:val="right" w:pos="9360"/>
            </w:tabs>
          </w:pPr>
        </w:p>
      </w:tc>
      <w:tc>
        <w:tcPr>
          <w:tcW w:w="2453" w:type="pct"/>
        </w:tcPr>
        <w:p w14:paraId="23EAD620" w14:textId="77777777" w:rsidR="00137D90" w:rsidRDefault="00137D90" w:rsidP="009C1E9A">
          <w:pPr>
            <w:pStyle w:val="Footer"/>
            <w:tabs>
              <w:tab w:val="clear" w:pos="8640"/>
              <w:tab w:val="right" w:pos="9360"/>
            </w:tabs>
            <w:jc w:val="right"/>
          </w:pPr>
        </w:p>
      </w:tc>
    </w:tr>
    <w:tr w:rsidR="009F3D93" w14:paraId="43D0DC94" w14:textId="77777777" w:rsidTr="009C1E9A">
      <w:trPr>
        <w:cantSplit/>
      </w:trPr>
      <w:tc>
        <w:tcPr>
          <w:tcW w:w="0" w:type="pct"/>
        </w:tcPr>
        <w:p w14:paraId="4BF2AE94" w14:textId="77777777" w:rsidR="00EC379B" w:rsidRDefault="00EC379B" w:rsidP="009C1E9A">
          <w:pPr>
            <w:pStyle w:val="Footer"/>
            <w:tabs>
              <w:tab w:val="clear" w:pos="8640"/>
              <w:tab w:val="right" w:pos="9360"/>
            </w:tabs>
          </w:pPr>
        </w:p>
      </w:tc>
      <w:tc>
        <w:tcPr>
          <w:tcW w:w="2395" w:type="pct"/>
        </w:tcPr>
        <w:p w14:paraId="382030D5" w14:textId="72F0E584" w:rsidR="00EC379B" w:rsidRPr="009C1E9A" w:rsidRDefault="003C677E" w:rsidP="009C1E9A">
          <w:pPr>
            <w:pStyle w:val="Footer"/>
            <w:tabs>
              <w:tab w:val="clear" w:pos="8640"/>
              <w:tab w:val="right" w:pos="9360"/>
            </w:tabs>
            <w:rPr>
              <w:rFonts w:ascii="Shruti" w:hAnsi="Shruti"/>
              <w:sz w:val="22"/>
            </w:rPr>
          </w:pPr>
          <w:r>
            <w:rPr>
              <w:rFonts w:ascii="Shruti" w:hAnsi="Shruti"/>
              <w:sz w:val="22"/>
            </w:rPr>
            <w:t>88R 23052-D</w:t>
          </w:r>
        </w:p>
      </w:tc>
      <w:tc>
        <w:tcPr>
          <w:tcW w:w="2453" w:type="pct"/>
        </w:tcPr>
        <w:p w14:paraId="45FE31FF" w14:textId="5DAC09F1" w:rsidR="00EC379B" w:rsidRDefault="003C677E" w:rsidP="009C1E9A">
          <w:pPr>
            <w:pStyle w:val="Footer"/>
            <w:tabs>
              <w:tab w:val="clear" w:pos="8640"/>
              <w:tab w:val="right" w:pos="9360"/>
            </w:tabs>
            <w:jc w:val="right"/>
          </w:pPr>
          <w:r>
            <w:fldChar w:fldCharType="begin"/>
          </w:r>
          <w:r>
            <w:instrText xml:space="preserve"> DOCPROPERTY  OTID  \* MERGEFORMAT </w:instrText>
          </w:r>
          <w:r>
            <w:fldChar w:fldCharType="separate"/>
          </w:r>
          <w:r w:rsidR="004A177F">
            <w:t>23.105.228</w:t>
          </w:r>
          <w:r>
            <w:fldChar w:fldCharType="end"/>
          </w:r>
        </w:p>
      </w:tc>
    </w:tr>
    <w:tr w:rsidR="009F3D93" w14:paraId="267F7426" w14:textId="77777777" w:rsidTr="009C1E9A">
      <w:trPr>
        <w:cantSplit/>
      </w:trPr>
      <w:tc>
        <w:tcPr>
          <w:tcW w:w="0" w:type="pct"/>
        </w:tcPr>
        <w:p w14:paraId="3EAAE48B" w14:textId="77777777" w:rsidR="00EC379B" w:rsidRDefault="00EC379B" w:rsidP="009C1E9A">
          <w:pPr>
            <w:pStyle w:val="Footer"/>
            <w:tabs>
              <w:tab w:val="clear" w:pos="4320"/>
              <w:tab w:val="clear" w:pos="8640"/>
              <w:tab w:val="left" w:pos="2865"/>
            </w:tabs>
          </w:pPr>
        </w:p>
      </w:tc>
      <w:tc>
        <w:tcPr>
          <w:tcW w:w="2395" w:type="pct"/>
        </w:tcPr>
        <w:p w14:paraId="3D0E8CFA" w14:textId="7999F479" w:rsidR="00EC379B" w:rsidRPr="009C1E9A" w:rsidRDefault="003C677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20088</w:t>
          </w:r>
        </w:p>
      </w:tc>
      <w:tc>
        <w:tcPr>
          <w:tcW w:w="2453" w:type="pct"/>
        </w:tcPr>
        <w:p w14:paraId="72431C8C" w14:textId="77777777" w:rsidR="00EC379B" w:rsidRDefault="00EC379B" w:rsidP="006D504F">
          <w:pPr>
            <w:pStyle w:val="Footer"/>
            <w:rPr>
              <w:rStyle w:val="PageNumber"/>
            </w:rPr>
          </w:pPr>
        </w:p>
        <w:p w14:paraId="13AB1CE0" w14:textId="77777777" w:rsidR="00EC379B" w:rsidRDefault="00EC379B" w:rsidP="009C1E9A">
          <w:pPr>
            <w:pStyle w:val="Footer"/>
            <w:tabs>
              <w:tab w:val="clear" w:pos="8640"/>
              <w:tab w:val="right" w:pos="9360"/>
            </w:tabs>
            <w:jc w:val="right"/>
          </w:pPr>
        </w:p>
      </w:tc>
    </w:tr>
    <w:tr w:rsidR="009F3D93" w14:paraId="73A088C7" w14:textId="77777777" w:rsidTr="009C1E9A">
      <w:trPr>
        <w:cantSplit/>
        <w:trHeight w:val="323"/>
      </w:trPr>
      <w:tc>
        <w:tcPr>
          <w:tcW w:w="0" w:type="pct"/>
          <w:gridSpan w:val="3"/>
        </w:tcPr>
        <w:p w14:paraId="0297A72E" w14:textId="77777777" w:rsidR="00EC379B" w:rsidRDefault="003C67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F54D3B" w14:textId="77777777" w:rsidR="00EC379B" w:rsidRDefault="00EC379B" w:rsidP="009C1E9A">
          <w:pPr>
            <w:pStyle w:val="Footer"/>
            <w:tabs>
              <w:tab w:val="clear" w:pos="8640"/>
              <w:tab w:val="right" w:pos="9360"/>
            </w:tabs>
            <w:jc w:val="center"/>
          </w:pPr>
        </w:p>
      </w:tc>
    </w:tr>
  </w:tbl>
  <w:p w14:paraId="70AC41E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7D3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A069" w14:textId="77777777" w:rsidR="00000000" w:rsidRDefault="003C677E">
      <w:r>
        <w:separator/>
      </w:r>
    </w:p>
  </w:footnote>
  <w:footnote w:type="continuationSeparator" w:id="0">
    <w:p w14:paraId="041BC622" w14:textId="77777777" w:rsidR="00000000" w:rsidRDefault="003C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BDE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F05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F09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3861"/>
    <w:multiLevelType w:val="hybridMultilevel"/>
    <w:tmpl w:val="5B0EA32C"/>
    <w:lvl w:ilvl="0" w:tplc="80D271CA">
      <w:start w:val="1"/>
      <w:numFmt w:val="bullet"/>
      <w:lvlText w:val=""/>
      <w:lvlJc w:val="left"/>
      <w:pPr>
        <w:tabs>
          <w:tab w:val="num" w:pos="777"/>
        </w:tabs>
        <w:ind w:left="777" w:hanging="360"/>
      </w:pPr>
      <w:rPr>
        <w:rFonts w:ascii="Symbol" w:hAnsi="Symbol" w:hint="default"/>
      </w:rPr>
    </w:lvl>
    <w:lvl w:ilvl="1" w:tplc="CA326A80" w:tentative="1">
      <w:start w:val="1"/>
      <w:numFmt w:val="bullet"/>
      <w:lvlText w:val="o"/>
      <w:lvlJc w:val="left"/>
      <w:pPr>
        <w:ind w:left="1497" w:hanging="360"/>
      </w:pPr>
      <w:rPr>
        <w:rFonts w:ascii="Courier New" w:hAnsi="Courier New" w:cs="Courier New" w:hint="default"/>
      </w:rPr>
    </w:lvl>
    <w:lvl w:ilvl="2" w:tplc="16449D1E" w:tentative="1">
      <w:start w:val="1"/>
      <w:numFmt w:val="bullet"/>
      <w:lvlText w:val=""/>
      <w:lvlJc w:val="left"/>
      <w:pPr>
        <w:ind w:left="2217" w:hanging="360"/>
      </w:pPr>
      <w:rPr>
        <w:rFonts w:ascii="Wingdings" w:hAnsi="Wingdings" w:hint="default"/>
      </w:rPr>
    </w:lvl>
    <w:lvl w:ilvl="3" w:tplc="0E728456" w:tentative="1">
      <w:start w:val="1"/>
      <w:numFmt w:val="bullet"/>
      <w:lvlText w:val=""/>
      <w:lvlJc w:val="left"/>
      <w:pPr>
        <w:ind w:left="2937" w:hanging="360"/>
      </w:pPr>
      <w:rPr>
        <w:rFonts w:ascii="Symbol" w:hAnsi="Symbol" w:hint="default"/>
      </w:rPr>
    </w:lvl>
    <w:lvl w:ilvl="4" w:tplc="5A803C46" w:tentative="1">
      <w:start w:val="1"/>
      <w:numFmt w:val="bullet"/>
      <w:lvlText w:val="o"/>
      <w:lvlJc w:val="left"/>
      <w:pPr>
        <w:ind w:left="3657" w:hanging="360"/>
      </w:pPr>
      <w:rPr>
        <w:rFonts w:ascii="Courier New" w:hAnsi="Courier New" w:cs="Courier New" w:hint="default"/>
      </w:rPr>
    </w:lvl>
    <w:lvl w:ilvl="5" w:tplc="9946B4A4" w:tentative="1">
      <w:start w:val="1"/>
      <w:numFmt w:val="bullet"/>
      <w:lvlText w:val=""/>
      <w:lvlJc w:val="left"/>
      <w:pPr>
        <w:ind w:left="4377" w:hanging="360"/>
      </w:pPr>
      <w:rPr>
        <w:rFonts w:ascii="Wingdings" w:hAnsi="Wingdings" w:hint="default"/>
      </w:rPr>
    </w:lvl>
    <w:lvl w:ilvl="6" w:tplc="8F96ED66" w:tentative="1">
      <w:start w:val="1"/>
      <w:numFmt w:val="bullet"/>
      <w:lvlText w:val=""/>
      <w:lvlJc w:val="left"/>
      <w:pPr>
        <w:ind w:left="5097" w:hanging="360"/>
      </w:pPr>
      <w:rPr>
        <w:rFonts w:ascii="Symbol" w:hAnsi="Symbol" w:hint="default"/>
      </w:rPr>
    </w:lvl>
    <w:lvl w:ilvl="7" w:tplc="20A6EB4E" w:tentative="1">
      <w:start w:val="1"/>
      <w:numFmt w:val="bullet"/>
      <w:lvlText w:val="o"/>
      <w:lvlJc w:val="left"/>
      <w:pPr>
        <w:ind w:left="5817" w:hanging="360"/>
      </w:pPr>
      <w:rPr>
        <w:rFonts w:ascii="Courier New" w:hAnsi="Courier New" w:cs="Courier New" w:hint="default"/>
      </w:rPr>
    </w:lvl>
    <w:lvl w:ilvl="8" w:tplc="A9DA8A8C" w:tentative="1">
      <w:start w:val="1"/>
      <w:numFmt w:val="bullet"/>
      <w:lvlText w:val=""/>
      <w:lvlJc w:val="left"/>
      <w:pPr>
        <w:ind w:left="6537" w:hanging="360"/>
      </w:pPr>
      <w:rPr>
        <w:rFonts w:ascii="Wingdings" w:hAnsi="Wingdings" w:hint="default"/>
      </w:rPr>
    </w:lvl>
  </w:abstractNum>
  <w:abstractNum w:abstractNumId="1" w15:restartNumberingAfterBreak="0">
    <w:nsid w:val="3FD34069"/>
    <w:multiLevelType w:val="hybridMultilevel"/>
    <w:tmpl w:val="8CDC3D00"/>
    <w:lvl w:ilvl="0" w:tplc="87B0F14C">
      <w:start w:val="1"/>
      <w:numFmt w:val="bullet"/>
      <w:lvlText w:val=""/>
      <w:lvlJc w:val="left"/>
      <w:pPr>
        <w:tabs>
          <w:tab w:val="num" w:pos="720"/>
        </w:tabs>
        <w:ind w:left="720" w:hanging="360"/>
      </w:pPr>
      <w:rPr>
        <w:rFonts w:ascii="Symbol" w:hAnsi="Symbol" w:hint="default"/>
      </w:rPr>
    </w:lvl>
    <w:lvl w:ilvl="1" w:tplc="828A4FE2" w:tentative="1">
      <w:start w:val="1"/>
      <w:numFmt w:val="bullet"/>
      <w:lvlText w:val="o"/>
      <w:lvlJc w:val="left"/>
      <w:pPr>
        <w:ind w:left="1440" w:hanging="360"/>
      </w:pPr>
      <w:rPr>
        <w:rFonts w:ascii="Courier New" w:hAnsi="Courier New" w:cs="Courier New" w:hint="default"/>
      </w:rPr>
    </w:lvl>
    <w:lvl w:ilvl="2" w:tplc="159C4330" w:tentative="1">
      <w:start w:val="1"/>
      <w:numFmt w:val="bullet"/>
      <w:lvlText w:val=""/>
      <w:lvlJc w:val="left"/>
      <w:pPr>
        <w:ind w:left="2160" w:hanging="360"/>
      </w:pPr>
      <w:rPr>
        <w:rFonts w:ascii="Wingdings" w:hAnsi="Wingdings" w:hint="default"/>
      </w:rPr>
    </w:lvl>
    <w:lvl w:ilvl="3" w:tplc="02FA71FA" w:tentative="1">
      <w:start w:val="1"/>
      <w:numFmt w:val="bullet"/>
      <w:lvlText w:val=""/>
      <w:lvlJc w:val="left"/>
      <w:pPr>
        <w:ind w:left="2880" w:hanging="360"/>
      </w:pPr>
      <w:rPr>
        <w:rFonts w:ascii="Symbol" w:hAnsi="Symbol" w:hint="default"/>
      </w:rPr>
    </w:lvl>
    <w:lvl w:ilvl="4" w:tplc="083054D2" w:tentative="1">
      <w:start w:val="1"/>
      <w:numFmt w:val="bullet"/>
      <w:lvlText w:val="o"/>
      <w:lvlJc w:val="left"/>
      <w:pPr>
        <w:ind w:left="3600" w:hanging="360"/>
      </w:pPr>
      <w:rPr>
        <w:rFonts w:ascii="Courier New" w:hAnsi="Courier New" w:cs="Courier New" w:hint="default"/>
      </w:rPr>
    </w:lvl>
    <w:lvl w:ilvl="5" w:tplc="63B21B6C" w:tentative="1">
      <w:start w:val="1"/>
      <w:numFmt w:val="bullet"/>
      <w:lvlText w:val=""/>
      <w:lvlJc w:val="left"/>
      <w:pPr>
        <w:ind w:left="4320" w:hanging="360"/>
      </w:pPr>
      <w:rPr>
        <w:rFonts w:ascii="Wingdings" w:hAnsi="Wingdings" w:hint="default"/>
      </w:rPr>
    </w:lvl>
    <w:lvl w:ilvl="6" w:tplc="649E8EBA" w:tentative="1">
      <w:start w:val="1"/>
      <w:numFmt w:val="bullet"/>
      <w:lvlText w:val=""/>
      <w:lvlJc w:val="left"/>
      <w:pPr>
        <w:ind w:left="5040" w:hanging="360"/>
      </w:pPr>
      <w:rPr>
        <w:rFonts w:ascii="Symbol" w:hAnsi="Symbol" w:hint="default"/>
      </w:rPr>
    </w:lvl>
    <w:lvl w:ilvl="7" w:tplc="F8580644" w:tentative="1">
      <w:start w:val="1"/>
      <w:numFmt w:val="bullet"/>
      <w:lvlText w:val="o"/>
      <w:lvlJc w:val="left"/>
      <w:pPr>
        <w:ind w:left="5760" w:hanging="360"/>
      </w:pPr>
      <w:rPr>
        <w:rFonts w:ascii="Courier New" w:hAnsi="Courier New" w:cs="Courier New" w:hint="default"/>
      </w:rPr>
    </w:lvl>
    <w:lvl w:ilvl="8" w:tplc="B20863DC" w:tentative="1">
      <w:start w:val="1"/>
      <w:numFmt w:val="bullet"/>
      <w:lvlText w:val=""/>
      <w:lvlJc w:val="left"/>
      <w:pPr>
        <w:ind w:left="6480" w:hanging="360"/>
      </w:pPr>
      <w:rPr>
        <w:rFonts w:ascii="Wingdings" w:hAnsi="Wingdings" w:hint="default"/>
      </w:rPr>
    </w:lvl>
  </w:abstractNum>
  <w:abstractNum w:abstractNumId="2" w15:restartNumberingAfterBreak="0">
    <w:nsid w:val="50B612F1"/>
    <w:multiLevelType w:val="hybridMultilevel"/>
    <w:tmpl w:val="A17EE330"/>
    <w:lvl w:ilvl="0" w:tplc="88B89F86">
      <w:start w:val="1"/>
      <w:numFmt w:val="bullet"/>
      <w:lvlText w:val=""/>
      <w:lvlJc w:val="left"/>
      <w:pPr>
        <w:tabs>
          <w:tab w:val="num" w:pos="720"/>
        </w:tabs>
        <w:ind w:left="720" w:hanging="360"/>
      </w:pPr>
      <w:rPr>
        <w:rFonts w:ascii="Symbol" w:hAnsi="Symbol" w:hint="default"/>
      </w:rPr>
    </w:lvl>
    <w:lvl w:ilvl="1" w:tplc="58D08E62" w:tentative="1">
      <w:start w:val="1"/>
      <w:numFmt w:val="bullet"/>
      <w:lvlText w:val="o"/>
      <w:lvlJc w:val="left"/>
      <w:pPr>
        <w:ind w:left="1440" w:hanging="360"/>
      </w:pPr>
      <w:rPr>
        <w:rFonts w:ascii="Courier New" w:hAnsi="Courier New" w:cs="Courier New" w:hint="default"/>
      </w:rPr>
    </w:lvl>
    <w:lvl w:ilvl="2" w:tplc="CF8A60EA" w:tentative="1">
      <w:start w:val="1"/>
      <w:numFmt w:val="bullet"/>
      <w:lvlText w:val=""/>
      <w:lvlJc w:val="left"/>
      <w:pPr>
        <w:ind w:left="2160" w:hanging="360"/>
      </w:pPr>
      <w:rPr>
        <w:rFonts w:ascii="Wingdings" w:hAnsi="Wingdings" w:hint="default"/>
      </w:rPr>
    </w:lvl>
    <w:lvl w:ilvl="3" w:tplc="8138AEFA" w:tentative="1">
      <w:start w:val="1"/>
      <w:numFmt w:val="bullet"/>
      <w:lvlText w:val=""/>
      <w:lvlJc w:val="left"/>
      <w:pPr>
        <w:ind w:left="2880" w:hanging="360"/>
      </w:pPr>
      <w:rPr>
        <w:rFonts w:ascii="Symbol" w:hAnsi="Symbol" w:hint="default"/>
      </w:rPr>
    </w:lvl>
    <w:lvl w:ilvl="4" w:tplc="4B265846" w:tentative="1">
      <w:start w:val="1"/>
      <w:numFmt w:val="bullet"/>
      <w:lvlText w:val="o"/>
      <w:lvlJc w:val="left"/>
      <w:pPr>
        <w:ind w:left="3600" w:hanging="360"/>
      </w:pPr>
      <w:rPr>
        <w:rFonts w:ascii="Courier New" w:hAnsi="Courier New" w:cs="Courier New" w:hint="default"/>
      </w:rPr>
    </w:lvl>
    <w:lvl w:ilvl="5" w:tplc="C834EE4A" w:tentative="1">
      <w:start w:val="1"/>
      <w:numFmt w:val="bullet"/>
      <w:lvlText w:val=""/>
      <w:lvlJc w:val="left"/>
      <w:pPr>
        <w:ind w:left="4320" w:hanging="360"/>
      </w:pPr>
      <w:rPr>
        <w:rFonts w:ascii="Wingdings" w:hAnsi="Wingdings" w:hint="default"/>
      </w:rPr>
    </w:lvl>
    <w:lvl w:ilvl="6" w:tplc="4B3CD070" w:tentative="1">
      <w:start w:val="1"/>
      <w:numFmt w:val="bullet"/>
      <w:lvlText w:val=""/>
      <w:lvlJc w:val="left"/>
      <w:pPr>
        <w:ind w:left="5040" w:hanging="360"/>
      </w:pPr>
      <w:rPr>
        <w:rFonts w:ascii="Symbol" w:hAnsi="Symbol" w:hint="default"/>
      </w:rPr>
    </w:lvl>
    <w:lvl w:ilvl="7" w:tplc="DD70BAFC" w:tentative="1">
      <w:start w:val="1"/>
      <w:numFmt w:val="bullet"/>
      <w:lvlText w:val="o"/>
      <w:lvlJc w:val="left"/>
      <w:pPr>
        <w:ind w:left="5760" w:hanging="360"/>
      </w:pPr>
      <w:rPr>
        <w:rFonts w:ascii="Courier New" w:hAnsi="Courier New" w:cs="Courier New" w:hint="default"/>
      </w:rPr>
    </w:lvl>
    <w:lvl w:ilvl="8" w:tplc="DC50A53A" w:tentative="1">
      <w:start w:val="1"/>
      <w:numFmt w:val="bullet"/>
      <w:lvlText w:val=""/>
      <w:lvlJc w:val="left"/>
      <w:pPr>
        <w:ind w:left="6480" w:hanging="360"/>
      </w:pPr>
      <w:rPr>
        <w:rFonts w:ascii="Wingdings" w:hAnsi="Wingdings" w:hint="default"/>
      </w:rPr>
    </w:lvl>
  </w:abstractNum>
  <w:abstractNum w:abstractNumId="3" w15:restartNumberingAfterBreak="0">
    <w:nsid w:val="52443E36"/>
    <w:multiLevelType w:val="hybridMultilevel"/>
    <w:tmpl w:val="A4B432A2"/>
    <w:lvl w:ilvl="0" w:tplc="5DD2DEC6">
      <w:start w:val="1"/>
      <w:numFmt w:val="bullet"/>
      <w:lvlText w:val=""/>
      <w:lvlJc w:val="left"/>
      <w:pPr>
        <w:tabs>
          <w:tab w:val="num" w:pos="720"/>
        </w:tabs>
        <w:ind w:left="720" w:hanging="360"/>
      </w:pPr>
      <w:rPr>
        <w:rFonts w:ascii="Symbol" w:hAnsi="Symbol" w:hint="default"/>
      </w:rPr>
    </w:lvl>
    <w:lvl w:ilvl="1" w:tplc="034CF35C">
      <w:start w:val="1"/>
      <w:numFmt w:val="bullet"/>
      <w:lvlText w:val="o"/>
      <w:lvlJc w:val="left"/>
      <w:pPr>
        <w:ind w:left="1440" w:hanging="360"/>
      </w:pPr>
      <w:rPr>
        <w:rFonts w:ascii="Courier New" w:hAnsi="Courier New" w:cs="Courier New" w:hint="default"/>
      </w:rPr>
    </w:lvl>
    <w:lvl w:ilvl="2" w:tplc="C20252AA" w:tentative="1">
      <w:start w:val="1"/>
      <w:numFmt w:val="bullet"/>
      <w:lvlText w:val=""/>
      <w:lvlJc w:val="left"/>
      <w:pPr>
        <w:ind w:left="2160" w:hanging="360"/>
      </w:pPr>
      <w:rPr>
        <w:rFonts w:ascii="Wingdings" w:hAnsi="Wingdings" w:hint="default"/>
      </w:rPr>
    </w:lvl>
    <w:lvl w:ilvl="3" w:tplc="C81A3DB0" w:tentative="1">
      <w:start w:val="1"/>
      <w:numFmt w:val="bullet"/>
      <w:lvlText w:val=""/>
      <w:lvlJc w:val="left"/>
      <w:pPr>
        <w:ind w:left="2880" w:hanging="360"/>
      </w:pPr>
      <w:rPr>
        <w:rFonts w:ascii="Symbol" w:hAnsi="Symbol" w:hint="default"/>
      </w:rPr>
    </w:lvl>
    <w:lvl w:ilvl="4" w:tplc="03DC8686" w:tentative="1">
      <w:start w:val="1"/>
      <w:numFmt w:val="bullet"/>
      <w:lvlText w:val="o"/>
      <w:lvlJc w:val="left"/>
      <w:pPr>
        <w:ind w:left="3600" w:hanging="360"/>
      </w:pPr>
      <w:rPr>
        <w:rFonts w:ascii="Courier New" w:hAnsi="Courier New" w:cs="Courier New" w:hint="default"/>
      </w:rPr>
    </w:lvl>
    <w:lvl w:ilvl="5" w:tplc="69AC7454" w:tentative="1">
      <w:start w:val="1"/>
      <w:numFmt w:val="bullet"/>
      <w:lvlText w:val=""/>
      <w:lvlJc w:val="left"/>
      <w:pPr>
        <w:ind w:left="4320" w:hanging="360"/>
      </w:pPr>
      <w:rPr>
        <w:rFonts w:ascii="Wingdings" w:hAnsi="Wingdings" w:hint="default"/>
      </w:rPr>
    </w:lvl>
    <w:lvl w:ilvl="6" w:tplc="1D6C2512" w:tentative="1">
      <w:start w:val="1"/>
      <w:numFmt w:val="bullet"/>
      <w:lvlText w:val=""/>
      <w:lvlJc w:val="left"/>
      <w:pPr>
        <w:ind w:left="5040" w:hanging="360"/>
      </w:pPr>
      <w:rPr>
        <w:rFonts w:ascii="Symbol" w:hAnsi="Symbol" w:hint="default"/>
      </w:rPr>
    </w:lvl>
    <w:lvl w:ilvl="7" w:tplc="AA10C5E6" w:tentative="1">
      <w:start w:val="1"/>
      <w:numFmt w:val="bullet"/>
      <w:lvlText w:val="o"/>
      <w:lvlJc w:val="left"/>
      <w:pPr>
        <w:ind w:left="5760" w:hanging="360"/>
      </w:pPr>
      <w:rPr>
        <w:rFonts w:ascii="Courier New" w:hAnsi="Courier New" w:cs="Courier New" w:hint="default"/>
      </w:rPr>
    </w:lvl>
    <w:lvl w:ilvl="8" w:tplc="8200A7BC" w:tentative="1">
      <w:start w:val="1"/>
      <w:numFmt w:val="bullet"/>
      <w:lvlText w:val=""/>
      <w:lvlJc w:val="left"/>
      <w:pPr>
        <w:ind w:left="6480" w:hanging="360"/>
      </w:pPr>
      <w:rPr>
        <w:rFonts w:ascii="Wingdings" w:hAnsi="Wingdings" w:hint="default"/>
      </w:rPr>
    </w:lvl>
  </w:abstractNum>
  <w:abstractNum w:abstractNumId="4" w15:restartNumberingAfterBreak="0">
    <w:nsid w:val="56B94214"/>
    <w:multiLevelType w:val="hybridMultilevel"/>
    <w:tmpl w:val="7EFAC260"/>
    <w:lvl w:ilvl="0" w:tplc="AF10A638">
      <w:start w:val="1"/>
      <w:numFmt w:val="bullet"/>
      <w:lvlText w:val=""/>
      <w:lvlJc w:val="left"/>
      <w:pPr>
        <w:tabs>
          <w:tab w:val="num" w:pos="720"/>
        </w:tabs>
        <w:ind w:left="720" w:hanging="360"/>
      </w:pPr>
      <w:rPr>
        <w:rFonts w:ascii="Symbol" w:hAnsi="Symbol" w:hint="default"/>
      </w:rPr>
    </w:lvl>
    <w:lvl w:ilvl="1" w:tplc="53D22D74">
      <w:start w:val="1"/>
      <w:numFmt w:val="bullet"/>
      <w:lvlText w:val="o"/>
      <w:lvlJc w:val="left"/>
      <w:pPr>
        <w:ind w:left="1440" w:hanging="360"/>
      </w:pPr>
      <w:rPr>
        <w:rFonts w:ascii="Courier New" w:hAnsi="Courier New" w:cs="Courier New" w:hint="default"/>
      </w:rPr>
    </w:lvl>
    <w:lvl w:ilvl="2" w:tplc="086E9DAA" w:tentative="1">
      <w:start w:val="1"/>
      <w:numFmt w:val="bullet"/>
      <w:lvlText w:val=""/>
      <w:lvlJc w:val="left"/>
      <w:pPr>
        <w:ind w:left="2160" w:hanging="360"/>
      </w:pPr>
      <w:rPr>
        <w:rFonts w:ascii="Wingdings" w:hAnsi="Wingdings" w:hint="default"/>
      </w:rPr>
    </w:lvl>
    <w:lvl w:ilvl="3" w:tplc="1AE07A9C" w:tentative="1">
      <w:start w:val="1"/>
      <w:numFmt w:val="bullet"/>
      <w:lvlText w:val=""/>
      <w:lvlJc w:val="left"/>
      <w:pPr>
        <w:ind w:left="2880" w:hanging="360"/>
      </w:pPr>
      <w:rPr>
        <w:rFonts w:ascii="Symbol" w:hAnsi="Symbol" w:hint="default"/>
      </w:rPr>
    </w:lvl>
    <w:lvl w:ilvl="4" w:tplc="3A1E1666" w:tentative="1">
      <w:start w:val="1"/>
      <w:numFmt w:val="bullet"/>
      <w:lvlText w:val="o"/>
      <w:lvlJc w:val="left"/>
      <w:pPr>
        <w:ind w:left="3600" w:hanging="360"/>
      </w:pPr>
      <w:rPr>
        <w:rFonts w:ascii="Courier New" w:hAnsi="Courier New" w:cs="Courier New" w:hint="default"/>
      </w:rPr>
    </w:lvl>
    <w:lvl w:ilvl="5" w:tplc="B7B8C0FC" w:tentative="1">
      <w:start w:val="1"/>
      <w:numFmt w:val="bullet"/>
      <w:lvlText w:val=""/>
      <w:lvlJc w:val="left"/>
      <w:pPr>
        <w:ind w:left="4320" w:hanging="360"/>
      </w:pPr>
      <w:rPr>
        <w:rFonts w:ascii="Wingdings" w:hAnsi="Wingdings" w:hint="default"/>
      </w:rPr>
    </w:lvl>
    <w:lvl w:ilvl="6" w:tplc="2BE2F568" w:tentative="1">
      <w:start w:val="1"/>
      <w:numFmt w:val="bullet"/>
      <w:lvlText w:val=""/>
      <w:lvlJc w:val="left"/>
      <w:pPr>
        <w:ind w:left="5040" w:hanging="360"/>
      </w:pPr>
      <w:rPr>
        <w:rFonts w:ascii="Symbol" w:hAnsi="Symbol" w:hint="default"/>
      </w:rPr>
    </w:lvl>
    <w:lvl w:ilvl="7" w:tplc="22CEA638" w:tentative="1">
      <w:start w:val="1"/>
      <w:numFmt w:val="bullet"/>
      <w:lvlText w:val="o"/>
      <w:lvlJc w:val="left"/>
      <w:pPr>
        <w:ind w:left="5760" w:hanging="360"/>
      </w:pPr>
      <w:rPr>
        <w:rFonts w:ascii="Courier New" w:hAnsi="Courier New" w:cs="Courier New" w:hint="default"/>
      </w:rPr>
    </w:lvl>
    <w:lvl w:ilvl="8" w:tplc="3E9AE5AA" w:tentative="1">
      <w:start w:val="1"/>
      <w:numFmt w:val="bullet"/>
      <w:lvlText w:val=""/>
      <w:lvlJc w:val="left"/>
      <w:pPr>
        <w:ind w:left="6480" w:hanging="360"/>
      </w:pPr>
      <w:rPr>
        <w:rFonts w:ascii="Wingdings" w:hAnsi="Wingdings" w:hint="default"/>
      </w:rPr>
    </w:lvl>
  </w:abstractNum>
  <w:num w:numId="1" w16cid:durableId="1589003039">
    <w:abstractNumId w:val="1"/>
  </w:num>
  <w:num w:numId="2" w16cid:durableId="1236206687">
    <w:abstractNumId w:val="4"/>
  </w:num>
  <w:num w:numId="3" w16cid:durableId="594293260">
    <w:abstractNumId w:val="3"/>
  </w:num>
  <w:num w:numId="4" w16cid:durableId="917402620">
    <w:abstractNumId w:val="0"/>
  </w:num>
  <w:num w:numId="5" w16cid:durableId="126938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74"/>
    <w:rsid w:val="00000A70"/>
    <w:rsid w:val="000032B8"/>
    <w:rsid w:val="00003B06"/>
    <w:rsid w:val="0000488D"/>
    <w:rsid w:val="000054B9"/>
    <w:rsid w:val="00007461"/>
    <w:rsid w:val="00007C0D"/>
    <w:rsid w:val="0001117E"/>
    <w:rsid w:val="0001125F"/>
    <w:rsid w:val="000118E6"/>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3C2"/>
    <w:rsid w:val="000608B0"/>
    <w:rsid w:val="0006104C"/>
    <w:rsid w:val="00061BDB"/>
    <w:rsid w:val="00064BF2"/>
    <w:rsid w:val="000667BA"/>
    <w:rsid w:val="000676A7"/>
    <w:rsid w:val="00073914"/>
    <w:rsid w:val="00074236"/>
    <w:rsid w:val="000746BD"/>
    <w:rsid w:val="00076D7D"/>
    <w:rsid w:val="00080D95"/>
    <w:rsid w:val="00090CB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BAB"/>
    <w:rsid w:val="000F3D27"/>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BB7"/>
    <w:rsid w:val="001312BB"/>
    <w:rsid w:val="0013340B"/>
    <w:rsid w:val="0013559A"/>
    <w:rsid w:val="00135759"/>
    <w:rsid w:val="0013750F"/>
    <w:rsid w:val="00137D90"/>
    <w:rsid w:val="00141FB6"/>
    <w:rsid w:val="00142F8E"/>
    <w:rsid w:val="00143C8B"/>
    <w:rsid w:val="00144D74"/>
    <w:rsid w:val="00147530"/>
    <w:rsid w:val="0015331F"/>
    <w:rsid w:val="00156375"/>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87D5F"/>
    <w:rsid w:val="001908AC"/>
    <w:rsid w:val="00190CFB"/>
    <w:rsid w:val="0019457A"/>
    <w:rsid w:val="00195257"/>
    <w:rsid w:val="00195388"/>
    <w:rsid w:val="0019539E"/>
    <w:rsid w:val="001960BC"/>
    <w:rsid w:val="001968BC"/>
    <w:rsid w:val="00197FA0"/>
    <w:rsid w:val="001A0739"/>
    <w:rsid w:val="001A0F00"/>
    <w:rsid w:val="001A2BDD"/>
    <w:rsid w:val="001A3DDF"/>
    <w:rsid w:val="001A4310"/>
    <w:rsid w:val="001B053A"/>
    <w:rsid w:val="001B26D8"/>
    <w:rsid w:val="001B3BFA"/>
    <w:rsid w:val="001B3EAD"/>
    <w:rsid w:val="001B75B8"/>
    <w:rsid w:val="001C1230"/>
    <w:rsid w:val="001C23DC"/>
    <w:rsid w:val="001C60B5"/>
    <w:rsid w:val="001C61B0"/>
    <w:rsid w:val="001C6FAC"/>
    <w:rsid w:val="001C7957"/>
    <w:rsid w:val="001C7DB8"/>
    <w:rsid w:val="001C7EA8"/>
    <w:rsid w:val="001D1711"/>
    <w:rsid w:val="001D2A01"/>
    <w:rsid w:val="001D2EF6"/>
    <w:rsid w:val="001D37A8"/>
    <w:rsid w:val="001D462E"/>
    <w:rsid w:val="001E1300"/>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A71"/>
    <w:rsid w:val="00215DB4"/>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182"/>
    <w:rsid w:val="0024030A"/>
    <w:rsid w:val="0024077A"/>
    <w:rsid w:val="00241EC1"/>
    <w:rsid w:val="002431DA"/>
    <w:rsid w:val="0024691D"/>
    <w:rsid w:val="00247D27"/>
    <w:rsid w:val="00250A50"/>
    <w:rsid w:val="00251ED5"/>
    <w:rsid w:val="00255EB6"/>
    <w:rsid w:val="00257429"/>
    <w:rsid w:val="002576B8"/>
    <w:rsid w:val="00260FA4"/>
    <w:rsid w:val="00261183"/>
    <w:rsid w:val="00262229"/>
    <w:rsid w:val="00262A66"/>
    <w:rsid w:val="00263140"/>
    <w:rsid w:val="002631C8"/>
    <w:rsid w:val="00265133"/>
    <w:rsid w:val="00265A23"/>
    <w:rsid w:val="00267841"/>
    <w:rsid w:val="002710C3"/>
    <w:rsid w:val="002711BF"/>
    <w:rsid w:val="0027192A"/>
    <w:rsid w:val="002734D6"/>
    <w:rsid w:val="00274C45"/>
    <w:rsid w:val="00275109"/>
    <w:rsid w:val="00275BEE"/>
    <w:rsid w:val="00277434"/>
    <w:rsid w:val="00280123"/>
    <w:rsid w:val="00281343"/>
    <w:rsid w:val="00281883"/>
    <w:rsid w:val="002821C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F58"/>
    <w:rsid w:val="002E21B8"/>
    <w:rsid w:val="002E7DF9"/>
    <w:rsid w:val="002F097B"/>
    <w:rsid w:val="002F2147"/>
    <w:rsid w:val="002F3111"/>
    <w:rsid w:val="002F4AEC"/>
    <w:rsid w:val="002F730D"/>
    <w:rsid w:val="002F795D"/>
    <w:rsid w:val="00300823"/>
    <w:rsid w:val="00300D7F"/>
    <w:rsid w:val="00301638"/>
    <w:rsid w:val="00303B0C"/>
    <w:rsid w:val="0030459C"/>
    <w:rsid w:val="00313DFE"/>
    <w:rsid w:val="003143B2"/>
    <w:rsid w:val="00314821"/>
    <w:rsid w:val="0031483F"/>
    <w:rsid w:val="00315FD6"/>
    <w:rsid w:val="0031741B"/>
    <w:rsid w:val="00321337"/>
    <w:rsid w:val="00321F2F"/>
    <w:rsid w:val="003237F6"/>
    <w:rsid w:val="00324077"/>
    <w:rsid w:val="0032453B"/>
    <w:rsid w:val="00324868"/>
    <w:rsid w:val="003262E0"/>
    <w:rsid w:val="003305F5"/>
    <w:rsid w:val="00332017"/>
    <w:rsid w:val="003334CC"/>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F1A"/>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7A6"/>
    <w:rsid w:val="003C664C"/>
    <w:rsid w:val="003C677E"/>
    <w:rsid w:val="003D0186"/>
    <w:rsid w:val="003D334E"/>
    <w:rsid w:val="003D726D"/>
    <w:rsid w:val="003E0875"/>
    <w:rsid w:val="003E0BB8"/>
    <w:rsid w:val="003E6CB0"/>
    <w:rsid w:val="003F1F5E"/>
    <w:rsid w:val="003F286A"/>
    <w:rsid w:val="003F2E21"/>
    <w:rsid w:val="003F49E8"/>
    <w:rsid w:val="003F77F8"/>
    <w:rsid w:val="00400971"/>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3F4"/>
    <w:rsid w:val="00447018"/>
    <w:rsid w:val="004473B7"/>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FCC"/>
    <w:rsid w:val="00492211"/>
    <w:rsid w:val="00492325"/>
    <w:rsid w:val="00492A6D"/>
    <w:rsid w:val="00492DF7"/>
    <w:rsid w:val="00494303"/>
    <w:rsid w:val="00495BE1"/>
    <w:rsid w:val="0049682B"/>
    <w:rsid w:val="004977A3"/>
    <w:rsid w:val="004A03F7"/>
    <w:rsid w:val="004A081C"/>
    <w:rsid w:val="004A123F"/>
    <w:rsid w:val="004A177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A08"/>
    <w:rsid w:val="004D3F41"/>
    <w:rsid w:val="004D5098"/>
    <w:rsid w:val="004D6497"/>
    <w:rsid w:val="004D7E0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143"/>
    <w:rsid w:val="005017AC"/>
    <w:rsid w:val="00501E8A"/>
    <w:rsid w:val="00505121"/>
    <w:rsid w:val="00505C04"/>
    <w:rsid w:val="00505F1B"/>
    <w:rsid w:val="00506A29"/>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213"/>
    <w:rsid w:val="00593DF8"/>
    <w:rsid w:val="00595745"/>
    <w:rsid w:val="005A0E18"/>
    <w:rsid w:val="005A12A5"/>
    <w:rsid w:val="005A14C2"/>
    <w:rsid w:val="005A3350"/>
    <w:rsid w:val="005A3790"/>
    <w:rsid w:val="005A3CCB"/>
    <w:rsid w:val="005A6D13"/>
    <w:rsid w:val="005B031F"/>
    <w:rsid w:val="005B3298"/>
    <w:rsid w:val="005B3C13"/>
    <w:rsid w:val="005B4832"/>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1A"/>
    <w:rsid w:val="005E1999"/>
    <w:rsid w:val="005E232C"/>
    <w:rsid w:val="005E2B83"/>
    <w:rsid w:val="005E4AEB"/>
    <w:rsid w:val="005E738F"/>
    <w:rsid w:val="005E788B"/>
    <w:rsid w:val="005F1519"/>
    <w:rsid w:val="005F4862"/>
    <w:rsid w:val="005F5679"/>
    <w:rsid w:val="005F5FDF"/>
    <w:rsid w:val="005F6236"/>
    <w:rsid w:val="005F6960"/>
    <w:rsid w:val="005F7000"/>
    <w:rsid w:val="005F7AAA"/>
    <w:rsid w:val="005F7EC0"/>
    <w:rsid w:val="00600BAA"/>
    <w:rsid w:val="006012DA"/>
    <w:rsid w:val="00603B0F"/>
    <w:rsid w:val="006049F5"/>
    <w:rsid w:val="00605F7B"/>
    <w:rsid w:val="00607E64"/>
    <w:rsid w:val="006106E9"/>
    <w:rsid w:val="006109F0"/>
    <w:rsid w:val="0061159E"/>
    <w:rsid w:val="00611C95"/>
    <w:rsid w:val="006133B5"/>
    <w:rsid w:val="00614633"/>
    <w:rsid w:val="00614BC8"/>
    <w:rsid w:val="006151FB"/>
    <w:rsid w:val="00617411"/>
    <w:rsid w:val="006178AF"/>
    <w:rsid w:val="006249CB"/>
    <w:rsid w:val="006272DD"/>
    <w:rsid w:val="00630963"/>
    <w:rsid w:val="00630AEF"/>
    <w:rsid w:val="00631897"/>
    <w:rsid w:val="00632928"/>
    <w:rsid w:val="006330DA"/>
    <w:rsid w:val="00633262"/>
    <w:rsid w:val="00633460"/>
    <w:rsid w:val="006402E7"/>
    <w:rsid w:val="00640CB6"/>
    <w:rsid w:val="00641B42"/>
    <w:rsid w:val="00645750"/>
    <w:rsid w:val="00650692"/>
    <w:rsid w:val="006508D3"/>
    <w:rsid w:val="00650AFA"/>
    <w:rsid w:val="0065415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D49"/>
    <w:rsid w:val="006907CF"/>
    <w:rsid w:val="00691CCF"/>
    <w:rsid w:val="00693AFA"/>
    <w:rsid w:val="00695101"/>
    <w:rsid w:val="00695B9A"/>
    <w:rsid w:val="00696563"/>
    <w:rsid w:val="006966E6"/>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2F8"/>
    <w:rsid w:val="006C3D63"/>
    <w:rsid w:val="006C4709"/>
    <w:rsid w:val="006C697C"/>
    <w:rsid w:val="006D3005"/>
    <w:rsid w:val="006D504F"/>
    <w:rsid w:val="006E0CAC"/>
    <w:rsid w:val="006E1CFB"/>
    <w:rsid w:val="006E1F94"/>
    <w:rsid w:val="006E26C1"/>
    <w:rsid w:val="006E30A8"/>
    <w:rsid w:val="006E45B0"/>
    <w:rsid w:val="006E5692"/>
    <w:rsid w:val="006E76D8"/>
    <w:rsid w:val="006F365D"/>
    <w:rsid w:val="006F4BB0"/>
    <w:rsid w:val="006F6798"/>
    <w:rsid w:val="007031BD"/>
    <w:rsid w:val="00703E80"/>
    <w:rsid w:val="00705276"/>
    <w:rsid w:val="007066A0"/>
    <w:rsid w:val="007075FB"/>
    <w:rsid w:val="0070787B"/>
    <w:rsid w:val="0071066E"/>
    <w:rsid w:val="0071131D"/>
    <w:rsid w:val="00711E3D"/>
    <w:rsid w:val="00711E85"/>
    <w:rsid w:val="00712DDA"/>
    <w:rsid w:val="007158FE"/>
    <w:rsid w:val="00717739"/>
    <w:rsid w:val="00717DE4"/>
    <w:rsid w:val="00721724"/>
    <w:rsid w:val="00722EC5"/>
    <w:rsid w:val="00723326"/>
    <w:rsid w:val="00724252"/>
    <w:rsid w:val="00727E7A"/>
    <w:rsid w:val="0073163C"/>
    <w:rsid w:val="00731DE3"/>
    <w:rsid w:val="00735B9D"/>
    <w:rsid w:val="007365A5"/>
    <w:rsid w:val="0073681D"/>
    <w:rsid w:val="00736FB0"/>
    <w:rsid w:val="007404BC"/>
    <w:rsid w:val="00740D13"/>
    <w:rsid w:val="00740F5F"/>
    <w:rsid w:val="00742794"/>
    <w:rsid w:val="00743C4C"/>
    <w:rsid w:val="007445B7"/>
    <w:rsid w:val="00744920"/>
    <w:rsid w:val="007509BE"/>
    <w:rsid w:val="0075287B"/>
    <w:rsid w:val="00755C7B"/>
    <w:rsid w:val="007564DD"/>
    <w:rsid w:val="00764786"/>
    <w:rsid w:val="00766E12"/>
    <w:rsid w:val="0077098E"/>
    <w:rsid w:val="00771287"/>
    <w:rsid w:val="0077149E"/>
    <w:rsid w:val="00777518"/>
    <w:rsid w:val="0077779E"/>
    <w:rsid w:val="00780E7A"/>
    <w:rsid w:val="00780FB6"/>
    <w:rsid w:val="00781CFD"/>
    <w:rsid w:val="007841A3"/>
    <w:rsid w:val="00784F1B"/>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0FE"/>
    <w:rsid w:val="007B7B85"/>
    <w:rsid w:val="007C462E"/>
    <w:rsid w:val="007C496B"/>
    <w:rsid w:val="007C60DF"/>
    <w:rsid w:val="007C6803"/>
    <w:rsid w:val="007D2892"/>
    <w:rsid w:val="007D2DCC"/>
    <w:rsid w:val="007D47E1"/>
    <w:rsid w:val="007D7FCB"/>
    <w:rsid w:val="007E33B6"/>
    <w:rsid w:val="007E59E8"/>
    <w:rsid w:val="007F3861"/>
    <w:rsid w:val="007F4162"/>
    <w:rsid w:val="007F4471"/>
    <w:rsid w:val="007F5441"/>
    <w:rsid w:val="007F7668"/>
    <w:rsid w:val="00800C63"/>
    <w:rsid w:val="00802243"/>
    <w:rsid w:val="008023D4"/>
    <w:rsid w:val="00804124"/>
    <w:rsid w:val="00805402"/>
    <w:rsid w:val="00807185"/>
    <w:rsid w:val="0080765F"/>
    <w:rsid w:val="00812BE3"/>
    <w:rsid w:val="00814516"/>
    <w:rsid w:val="00814DBC"/>
    <w:rsid w:val="00815C9D"/>
    <w:rsid w:val="008170E2"/>
    <w:rsid w:val="0082005D"/>
    <w:rsid w:val="00820AF2"/>
    <w:rsid w:val="00822838"/>
    <w:rsid w:val="00823E4C"/>
    <w:rsid w:val="00827749"/>
    <w:rsid w:val="00827B7E"/>
    <w:rsid w:val="00830EEB"/>
    <w:rsid w:val="008340DD"/>
    <w:rsid w:val="008347A9"/>
    <w:rsid w:val="00835628"/>
    <w:rsid w:val="00835E90"/>
    <w:rsid w:val="0084176D"/>
    <w:rsid w:val="008423E4"/>
    <w:rsid w:val="00842900"/>
    <w:rsid w:val="00850CF0"/>
    <w:rsid w:val="00851869"/>
    <w:rsid w:val="00851C04"/>
    <w:rsid w:val="008531A1"/>
    <w:rsid w:val="00853A94"/>
    <w:rsid w:val="008547A3"/>
    <w:rsid w:val="0085788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E0F"/>
    <w:rsid w:val="008C3FD0"/>
    <w:rsid w:val="008D1098"/>
    <w:rsid w:val="008D27A5"/>
    <w:rsid w:val="008D2AAB"/>
    <w:rsid w:val="008D309C"/>
    <w:rsid w:val="008D4412"/>
    <w:rsid w:val="008D58F9"/>
    <w:rsid w:val="008D7427"/>
    <w:rsid w:val="008E057A"/>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258"/>
    <w:rsid w:val="0091509A"/>
    <w:rsid w:val="00915568"/>
    <w:rsid w:val="00917E0C"/>
    <w:rsid w:val="00920711"/>
    <w:rsid w:val="00921A1E"/>
    <w:rsid w:val="009224FF"/>
    <w:rsid w:val="00924EA9"/>
    <w:rsid w:val="00925CE1"/>
    <w:rsid w:val="00925F5C"/>
    <w:rsid w:val="00927413"/>
    <w:rsid w:val="00930685"/>
    <w:rsid w:val="00930897"/>
    <w:rsid w:val="009320D2"/>
    <w:rsid w:val="009329FB"/>
    <w:rsid w:val="00932C77"/>
    <w:rsid w:val="0093417F"/>
    <w:rsid w:val="00934AC2"/>
    <w:rsid w:val="009375BB"/>
    <w:rsid w:val="009418E9"/>
    <w:rsid w:val="00946044"/>
    <w:rsid w:val="0094653B"/>
    <w:rsid w:val="009465AB"/>
    <w:rsid w:val="00946DEE"/>
    <w:rsid w:val="00952824"/>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C2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5C7E"/>
    <w:rsid w:val="009C6B08"/>
    <w:rsid w:val="009C70FC"/>
    <w:rsid w:val="009D002B"/>
    <w:rsid w:val="009D37C7"/>
    <w:rsid w:val="009D4BBD"/>
    <w:rsid w:val="009D5A41"/>
    <w:rsid w:val="009E13BF"/>
    <w:rsid w:val="009E233F"/>
    <w:rsid w:val="009E3631"/>
    <w:rsid w:val="009E3EB9"/>
    <w:rsid w:val="009E69C2"/>
    <w:rsid w:val="009E70AF"/>
    <w:rsid w:val="009E7AEB"/>
    <w:rsid w:val="009F1B37"/>
    <w:rsid w:val="009F3D93"/>
    <w:rsid w:val="009F3DF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5EC"/>
    <w:rsid w:val="00A425FA"/>
    <w:rsid w:val="00A43960"/>
    <w:rsid w:val="00A43D68"/>
    <w:rsid w:val="00A46902"/>
    <w:rsid w:val="00A472F8"/>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22F"/>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6F1"/>
    <w:rsid w:val="00B04E79"/>
    <w:rsid w:val="00B07488"/>
    <w:rsid w:val="00B075A2"/>
    <w:rsid w:val="00B10DD2"/>
    <w:rsid w:val="00B115DC"/>
    <w:rsid w:val="00B11795"/>
    <w:rsid w:val="00B11952"/>
    <w:rsid w:val="00B149AC"/>
    <w:rsid w:val="00B14BD2"/>
    <w:rsid w:val="00B1557F"/>
    <w:rsid w:val="00B161AB"/>
    <w:rsid w:val="00B1668D"/>
    <w:rsid w:val="00B17981"/>
    <w:rsid w:val="00B233BB"/>
    <w:rsid w:val="00B255D9"/>
    <w:rsid w:val="00B25612"/>
    <w:rsid w:val="00B26437"/>
    <w:rsid w:val="00B2678E"/>
    <w:rsid w:val="00B3042D"/>
    <w:rsid w:val="00B30647"/>
    <w:rsid w:val="00B31F0E"/>
    <w:rsid w:val="00B34F25"/>
    <w:rsid w:val="00B36F9F"/>
    <w:rsid w:val="00B43672"/>
    <w:rsid w:val="00B473D8"/>
    <w:rsid w:val="00B5165A"/>
    <w:rsid w:val="00B524C1"/>
    <w:rsid w:val="00B52C8D"/>
    <w:rsid w:val="00B564BF"/>
    <w:rsid w:val="00B57CCC"/>
    <w:rsid w:val="00B6104E"/>
    <w:rsid w:val="00B610C7"/>
    <w:rsid w:val="00B611FE"/>
    <w:rsid w:val="00B62106"/>
    <w:rsid w:val="00B626A8"/>
    <w:rsid w:val="00B64049"/>
    <w:rsid w:val="00B65695"/>
    <w:rsid w:val="00B66526"/>
    <w:rsid w:val="00B665A3"/>
    <w:rsid w:val="00B71E25"/>
    <w:rsid w:val="00B73BB4"/>
    <w:rsid w:val="00B80532"/>
    <w:rsid w:val="00B82039"/>
    <w:rsid w:val="00B82454"/>
    <w:rsid w:val="00B84E88"/>
    <w:rsid w:val="00B90097"/>
    <w:rsid w:val="00B90999"/>
    <w:rsid w:val="00B91AD7"/>
    <w:rsid w:val="00B92D23"/>
    <w:rsid w:val="00B95BC8"/>
    <w:rsid w:val="00B96E87"/>
    <w:rsid w:val="00B9791B"/>
    <w:rsid w:val="00BA146A"/>
    <w:rsid w:val="00BA32EE"/>
    <w:rsid w:val="00BB3AF8"/>
    <w:rsid w:val="00BB5B36"/>
    <w:rsid w:val="00BC017B"/>
    <w:rsid w:val="00BC027B"/>
    <w:rsid w:val="00BC30A6"/>
    <w:rsid w:val="00BC3ED3"/>
    <w:rsid w:val="00BC3EF6"/>
    <w:rsid w:val="00BC4E34"/>
    <w:rsid w:val="00BC51D0"/>
    <w:rsid w:val="00BC5633"/>
    <w:rsid w:val="00BC58E1"/>
    <w:rsid w:val="00BC59CA"/>
    <w:rsid w:val="00BC6462"/>
    <w:rsid w:val="00BD0A32"/>
    <w:rsid w:val="00BD3BA9"/>
    <w:rsid w:val="00BD4E55"/>
    <w:rsid w:val="00BD513B"/>
    <w:rsid w:val="00BD5E52"/>
    <w:rsid w:val="00BE00CD"/>
    <w:rsid w:val="00BE0E75"/>
    <w:rsid w:val="00BE1789"/>
    <w:rsid w:val="00BE3634"/>
    <w:rsid w:val="00BE3E30"/>
    <w:rsid w:val="00BE5274"/>
    <w:rsid w:val="00BE5276"/>
    <w:rsid w:val="00BE71CD"/>
    <w:rsid w:val="00BE7748"/>
    <w:rsid w:val="00BE7BDA"/>
    <w:rsid w:val="00BF0548"/>
    <w:rsid w:val="00BF4949"/>
    <w:rsid w:val="00BF4D7C"/>
    <w:rsid w:val="00BF5085"/>
    <w:rsid w:val="00C013F4"/>
    <w:rsid w:val="00C040AB"/>
    <w:rsid w:val="00C0499B"/>
    <w:rsid w:val="00C05406"/>
    <w:rsid w:val="00C05CF0"/>
    <w:rsid w:val="00C119AC"/>
    <w:rsid w:val="00C125EC"/>
    <w:rsid w:val="00C14EE6"/>
    <w:rsid w:val="00C151DA"/>
    <w:rsid w:val="00C152A1"/>
    <w:rsid w:val="00C16CCB"/>
    <w:rsid w:val="00C2142B"/>
    <w:rsid w:val="00C22987"/>
    <w:rsid w:val="00C23956"/>
    <w:rsid w:val="00C248E6"/>
    <w:rsid w:val="00C2766F"/>
    <w:rsid w:val="00C3223B"/>
    <w:rsid w:val="00C333C6"/>
    <w:rsid w:val="00C33C01"/>
    <w:rsid w:val="00C35CC5"/>
    <w:rsid w:val="00C361C5"/>
    <w:rsid w:val="00C367D2"/>
    <w:rsid w:val="00C377D1"/>
    <w:rsid w:val="00C37BDA"/>
    <w:rsid w:val="00C37C84"/>
    <w:rsid w:val="00C42B41"/>
    <w:rsid w:val="00C46166"/>
    <w:rsid w:val="00C4710D"/>
    <w:rsid w:val="00C47937"/>
    <w:rsid w:val="00C50CAD"/>
    <w:rsid w:val="00C53C7F"/>
    <w:rsid w:val="00C563A8"/>
    <w:rsid w:val="00C57933"/>
    <w:rsid w:val="00C60206"/>
    <w:rsid w:val="00C615D4"/>
    <w:rsid w:val="00C61B5D"/>
    <w:rsid w:val="00C61C0E"/>
    <w:rsid w:val="00C61C64"/>
    <w:rsid w:val="00C61CDA"/>
    <w:rsid w:val="00C72956"/>
    <w:rsid w:val="00C73045"/>
    <w:rsid w:val="00C73212"/>
    <w:rsid w:val="00C7354A"/>
    <w:rsid w:val="00C73E27"/>
    <w:rsid w:val="00C74379"/>
    <w:rsid w:val="00C74DD8"/>
    <w:rsid w:val="00C75C5E"/>
    <w:rsid w:val="00C7669F"/>
    <w:rsid w:val="00C76DFF"/>
    <w:rsid w:val="00C76E2B"/>
    <w:rsid w:val="00C80B8F"/>
    <w:rsid w:val="00C82743"/>
    <w:rsid w:val="00C834CE"/>
    <w:rsid w:val="00C9047F"/>
    <w:rsid w:val="00C91D0D"/>
    <w:rsid w:val="00C91F65"/>
    <w:rsid w:val="00C92310"/>
    <w:rsid w:val="00C946DF"/>
    <w:rsid w:val="00C95150"/>
    <w:rsid w:val="00C95A73"/>
    <w:rsid w:val="00CA02B0"/>
    <w:rsid w:val="00CA032E"/>
    <w:rsid w:val="00CA1AF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123"/>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9A1"/>
    <w:rsid w:val="00D11B0B"/>
    <w:rsid w:val="00D12A3E"/>
    <w:rsid w:val="00D22160"/>
    <w:rsid w:val="00D22172"/>
    <w:rsid w:val="00D2301B"/>
    <w:rsid w:val="00D239EE"/>
    <w:rsid w:val="00D30534"/>
    <w:rsid w:val="00D35728"/>
    <w:rsid w:val="00D359A7"/>
    <w:rsid w:val="00D37BCF"/>
    <w:rsid w:val="00D407F8"/>
    <w:rsid w:val="00D40F93"/>
    <w:rsid w:val="00D42277"/>
    <w:rsid w:val="00D43C59"/>
    <w:rsid w:val="00D44ADE"/>
    <w:rsid w:val="00D45E1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DE4"/>
    <w:rsid w:val="00D72FB1"/>
    <w:rsid w:val="00D730FA"/>
    <w:rsid w:val="00D743FD"/>
    <w:rsid w:val="00D76631"/>
    <w:rsid w:val="00D768B7"/>
    <w:rsid w:val="00D77492"/>
    <w:rsid w:val="00D811E8"/>
    <w:rsid w:val="00D81A44"/>
    <w:rsid w:val="00D83072"/>
    <w:rsid w:val="00D83ABC"/>
    <w:rsid w:val="00D84870"/>
    <w:rsid w:val="00D914B1"/>
    <w:rsid w:val="00D91B92"/>
    <w:rsid w:val="00D926B3"/>
    <w:rsid w:val="00D92F63"/>
    <w:rsid w:val="00D94587"/>
    <w:rsid w:val="00D947B6"/>
    <w:rsid w:val="00D94A53"/>
    <w:rsid w:val="00D97E00"/>
    <w:rsid w:val="00DA00BC"/>
    <w:rsid w:val="00DA0E22"/>
    <w:rsid w:val="00DA1EFA"/>
    <w:rsid w:val="00DA25E7"/>
    <w:rsid w:val="00DA3687"/>
    <w:rsid w:val="00DA39F2"/>
    <w:rsid w:val="00DA564B"/>
    <w:rsid w:val="00DA6A5C"/>
    <w:rsid w:val="00DB311F"/>
    <w:rsid w:val="00DB4FB9"/>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72F"/>
    <w:rsid w:val="00DD7509"/>
    <w:rsid w:val="00DD79C7"/>
    <w:rsid w:val="00DD7D6E"/>
    <w:rsid w:val="00DE0B2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232"/>
    <w:rsid w:val="00E85DBD"/>
    <w:rsid w:val="00E87A99"/>
    <w:rsid w:val="00E90702"/>
    <w:rsid w:val="00E9241E"/>
    <w:rsid w:val="00E93DEF"/>
    <w:rsid w:val="00E947B1"/>
    <w:rsid w:val="00E96852"/>
    <w:rsid w:val="00EA16AC"/>
    <w:rsid w:val="00EA176F"/>
    <w:rsid w:val="00EA385A"/>
    <w:rsid w:val="00EA3931"/>
    <w:rsid w:val="00EA658E"/>
    <w:rsid w:val="00EA7A88"/>
    <w:rsid w:val="00EB250E"/>
    <w:rsid w:val="00EB27F2"/>
    <w:rsid w:val="00EB2DF3"/>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409"/>
    <w:rsid w:val="00ED783A"/>
    <w:rsid w:val="00EE2B33"/>
    <w:rsid w:val="00EE2E34"/>
    <w:rsid w:val="00EE2E91"/>
    <w:rsid w:val="00EE3370"/>
    <w:rsid w:val="00EE43A2"/>
    <w:rsid w:val="00EE46B7"/>
    <w:rsid w:val="00EE5A49"/>
    <w:rsid w:val="00EE664B"/>
    <w:rsid w:val="00EE6E79"/>
    <w:rsid w:val="00EE78FE"/>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90A"/>
    <w:rsid w:val="00F20E5F"/>
    <w:rsid w:val="00F2244A"/>
    <w:rsid w:val="00F241E4"/>
    <w:rsid w:val="00F2558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BA8"/>
    <w:rsid w:val="00F470CE"/>
    <w:rsid w:val="00F50130"/>
    <w:rsid w:val="00F512D9"/>
    <w:rsid w:val="00F52402"/>
    <w:rsid w:val="00F5605D"/>
    <w:rsid w:val="00F639BC"/>
    <w:rsid w:val="00F6514B"/>
    <w:rsid w:val="00F6533E"/>
    <w:rsid w:val="00F6587F"/>
    <w:rsid w:val="00F67981"/>
    <w:rsid w:val="00F706CA"/>
    <w:rsid w:val="00F70F8D"/>
    <w:rsid w:val="00F71C5A"/>
    <w:rsid w:val="00F733A4"/>
    <w:rsid w:val="00F7758F"/>
    <w:rsid w:val="00F82811"/>
    <w:rsid w:val="00F84153"/>
    <w:rsid w:val="00F85661"/>
    <w:rsid w:val="00F94C9B"/>
    <w:rsid w:val="00F96602"/>
    <w:rsid w:val="00F9735A"/>
    <w:rsid w:val="00FA32FC"/>
    <w:rsid w:val="00FA59FD"/>
    <w:rsid w:val="00FA5D8C"/>
    <w:rsid w:val="00FA6403"/>
    <w:rsid w:val="00FB16CD"/>
    <w:rsid w:val="00FB73AE"/>
    <w:rsid w:val="00FC5388"/>
    <w:rsid w:val="00FC726C"/>
    <w:rsid w:val="00FD1B4B"/>
    <w:rsid w:val="00FD1B94"/>
    <w:rsid w:val="00FD1F88"/>
    <w:rsid w:val="00FE19C5"/>
    <w:rsid w:val="00FE3C17"/>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1E6718-CA70-4858-81ED-5AD17CB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914B1"/>
    <w:rPr>
      <w:sz w:val="16"/>
      <w:szCs w:val="16"/>
    </w:rPr>
  </w:style>
  <w:style w:type="paragraph" w:styleId="CommentText">
    <w:name w:val="annotation text"/>
    <w:basedOn w:val="Normal"/>
    <w:link w:val="CommentTextChar"/>
    <w:semiHidden/>
    <w:unhideWhenUsed/>
    <w:rsid w:val="00D914B1"/>
    <w:rPr>
      <w:sz w:val="20"/>
      <w:szCs w:val="20"/>
    </w:rPr>
  </w:style>
  <w:style w:type="character" w:customStyle="1" w:styleId="CommentTextChar">
    <w:name w:val="Comment Text Char"/>
    <w:basedOn w:val="DefaultParagraphFont"/>
    <w:link w:val="CommentText"/>
    <w:semiHidden/>
    <w:rsid w:val="00D914B1"/>
  </w:style>
  <w:style w:type="paragraph" w:styleId="CommentSubject">
    <w:name w:val="annotation subject"/>
    <w:basedOn w:val="CommentText"/>
    <w:next w:val="CommentText"/>
    <w:link w:val="CommentSubjectChar"/>
    <w:semiHidden/>
    <w:unhideWhenUsed/>
    <w:rsid w:val="00D914B1"/>
    <w:rPr>
      <w:b/>
      <w:bCs/>
    </w:rPr>
  </w:style>
  <w:style w:type="character" w:customStyle="1" w:styleId="CommentSubjectChar">
    <w:name w:val="Comment Subject Char"/>
    <w:basedOn w:val="CommentTextChar"/>
    <w:link w:val="CommentSubject"/>
    <w:semiHidden/>
    <w:rsid w:val="00D914B1"/>
    <w:rPr>
      <w:b/>
      <w:bCs/>
    </w:rPr>
  </w:style>
  <w:style w:type="paragraph" w:styleId="Revision">
    <w:name w:val="Revision"/>
    <w:hidden/>
    <w:uiPriority w:val="99"/>
    <w:semiHidden/>
    <w:rsid w:val="006133B5"/>
    <w:rPr>
      <w:sz w:val="24"/>
      <w:szCs w:val="24"/>
    </w:rPr>
  </w:style>
  <w:style w:type="character" w:styleId="Hyperlink">
    <w:name w:val="Hyperlink"/>
    <w:basedOn w:val="DefaultParagraphFont"/>
    <w:unhideWhenUsed/>
    <w:rsid w:val="0071066E"/>
    <w:rPr>
      <w:color w:val="0000FF" w:themeColor="hyperlink"/>
      <w:u w:val="single"/>
    </w:rPr>
  </w:style>
  <w:style w:type="character" w:customStyle="1" w:styleId="UnresolvedMention1">
    <w:name w:val="Unresolved Mention1"/>
    <w:basedOn w:val="DefaultParagraphFont"/>
    <w:uiPriority w:val="99"/>
    <w:semiHidden/>
    <w:unhideWhenUsed/>
    <w:rsid w:val="0071066E"/>
    <w:rPr>
      <w:color w:val="605E5C"/>
      <w:shd w:val="clear" w:color="auto" w:fill="E1DFDD"/>
    </w:rPr>
  </w:style>
  <w:style w:type="paragraph" w:styleId="ListParagraph">
    <w:name w:val="List Paragraph"/>
    <w:basedOn w:val="Normal"/>
    <w:uiPriority w:val="34"/>
    <w:qFormat/>
    <w:rsid w:val="00BE5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9646</Characters>
  <Application>Microsoft Office Word</Application>
  <DocSecurity>4</DocSecurity>
  <Lines>186</Lines>
  <Paragraphs>47</Paragraphs>
  <ScaleCrop>false</ScaleCrop>
  <HeadingPairs>
    <vt:vector size="2" baseType="variant">
      <vt:variant>
        <vt:lpstr>Title</vt:lpstr>
      </vt:variant>
      <vt:variant>
        <vt:i4>1</vt:i4>
      </vt:variant>
    </vt:vector>
  </HeadingPairs>
  <TitlesOfParts>
    <vt:vector size="1" baseType="lpstr">
      <vt:lpstr>BA - HB00790 (Committee Report (Substituted))</vt:lpstr>
    </vt:vector>
  </TitlesOfParts>
  <Company>State of Texas</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23052</dc:subject>
  <dc:creator>State of Texas</dc:creator>
  <dc:description>HB 790 by Patterson-(H)Business &amp; Industry (Substitute Document Number: 88R 20088)</dc:description>
  <cp:lastModifiedBy>Stacey Nicchio</cp:lastModifiedBy>
  <cp:revision>2</cp:revision>
  <cp:lastPrinted>2003-11-26T17:21:00Z</cp:lastPrinted>
  <dcterms:created xsi:type="dcterms:W3CDTF">2023-04-18T21:08:00Z</dcterms:created>
  <dcterms:modified xsi:type="dcterms:W3CDTF">2023-04-18T21:08:00Z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23.105.228</vt:lpwstr>
  </property>
</Properties>
</file>