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A19AA" w14:paraId="0C4B6BF3" w14:textId="77777777" w:rsidTr="00601374">
        <w:tc>
          <w:tcPr>
            <w:tcW w:w="9576" w:type="dxa"/>
            <w:noWrap/>
          </w:tcPr>
          <w:p w14:paraId="570F981D" w14:textId="77777777" w:rsidR="008423E4" w:rsidRPr="0022177D" w:rsidRDefault="00CB65C0" w:rsidP="008A06C2">
            <w:pPr>
              <w:pStyle w:val="Heading1"/>
            </w:pPr>
            <w:r w:rsidRPr="00631897">
              <w:t>BILL ANALYSIS</w:t>
            </w:r>
          </w:p>
        </w:tc>
      </w:tr>
    </w:tbl>
    <w:p w14:paraId="447913D5" w14:textId="77777777" w:rsidR="008423E4" w:rsidRPr="008A06C2" w:rsidRDefault="008423E4" w:rsidP="008A06C2">
      <w:pPr>
        <w:jc w:val="center"/>
        <w:rPr>
          <w:sz w:val="22"/>
          <w:szCs w:val="22"/>
        </w:rPr>
      </w:pPr>
    </w:p>
    <w:p w14:paraId="73FAA1F3" w14:textId="77777777" w:rsidR="008423E4" w:rsidRPr="008A06C2" w:rsidRDefault="008423E4" w:rsidP="008A06C2">
      <w:pPr>
        <w:rPr>
          <w:sz w:val="22"/>
          <w:szCs w:val="22"/>
        </w:rPr>
      </w:pPr>
    </w:p>
    <w:p w14:paraId="7123E3BB" w14:textId="77777777" w:rsidR="008423E4" w:rsidRPr="008A06C2" w:rsidRDefault="008423E4" w:rsidP="008A06C2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A19AA" w14:paraId="3EF24CDC" w14:textId="77777777" w:rsidTr="00601374">
        <w:tc>
          <w:tcPr>
            <w:tcW w:w="9576" w:type="dxa"/>
          </w:tcPr>
          <w:p w14:paraId="08E471E6" w14:textId="7AA959FF" w:rsidR="008423E4" w:rsidRPr="00861995" w:rsidRDefault="00CB65C0" w:rsidP="008A06C2">
            <w:pPr>
              <w:jc w:val="right"/>
            </w:pPr>
            <w:r>
              <w:t>C.S.H.B. 823</w:t>
            </w:r>
          </w:p>
        </w:tc>
      </w:tr>
      <w:tr w:rsidR="006A19AA" w14:paraId="4BCF70C2" w14:textId="77777777" w:rsidTr="00601374">
        <w:tc>
          <w:tcPr>
            <w:tcW w:w="9576" w:type="dxa"/>
          </w:tcPr>
          <w:p w14:paraId="707B789F" w14:textId="5C066CB0" w:rsidR="008423E4" w:rsidRPr="00861995" w:rsidRDefault="00CB65C0" w:rsidP="008A06C2">
            <w:pPr>
              <w:jc w:val="right"/>
            </w:pPr>
            <w:r>
              <w:t xml:space="preserve">By: </w:t>
            </w:r>
            <w:r w:rsidR="00EE7F67">
              <w:t>Allen</w:t>
            </w:r>
          </w:p>
        </w:tc>
      </w:tr>
      <w:tr w:rsidR="006A19AA" w14:paraId="704C05AE" w14:textId="77777777" w:rsidTr="00601374">
        <w:tc>
          <w:tcPr>
            <w:tcW w:w="9576" w:type="dxa"/>
          </w:tcPr>
          <w:p w14:paraId="7025AC33" w14:textId="1942FF95" w:rsidR="008423E4" w:rsidRPr="00861995" w:rsidRDefault="00CB65C0" w:rsidP="008A06C2">
            <w:pPr>
              <w:jc w:val="right"/>
            </w:pPr>
            <w:r>
              <w:t>Corrections</w:t>
            </w:r>
          </w:p>
        </w:tc>
      </w:tr>
      <w:tr w:rsidR="006A19AA" w14:paraId="4703BBFC" w14:textId="77777777" w:rsidTr="00601374">
        <w:tc>
          <w:tcPr>
            <w:tcW w:w="9576" w:type="dxa"/>
          </w:tcPr>
          <w:p w14:paraId="2F82C671" w14:textId="6DA3A03A" w:rsidR="008423E4" w:rsidRDefault="00CB65C0" w:rsidP="008A06C2">
            <w:pPr>
              <w:jc w:val="right"/>
            </w:pPr>
            <w:r>
              <w:t>Committee Report (Substituted)</w:t>
            </w:r>
          </w:p>
        </w:tc>
      </w:tr>
    </w:tbl>
    <w:p w14:paraId="754F91B4" w14:textId="77777777" w:rsidR="008423E4" w:rsidRPr="008A06C2" w:rsidRDefault="008423E4" w:rsidP="008A06C2">
      <w:pPr>
        <w:tabs>
          <w:tab w:val="right" w:pos="9360"/>
        </w:tabs>
        <w:rPr>
          <w:sz w:val="22"/>
          <w:szCs w:val="22"/>
        </w:rPr>
      </w:pPr>
    </w:p>
    <w:p w14:paraId="08959A75" w14:textId="77777777" w:rsidR="008423E4" w:rsidRPr="008A06C2" w:rsidRDefault="008423E4" w:rsidP="008A06C2">
      <w:pPr>
        <w:rPr>
          <w:sz w:val="22"/>
          <w:szCs w:val="22"/>
        </w:rPr>
      </w:pPr>
    </w:p>
    <w:p w14:paraId="6E533BEA" w14:textId="77777777" w:rsidR="008423E4" w:rsidRPr="008A06C2" w:rsidRDefault="008423E4" w:rsidP="008A06C2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A19AA" w14:paraId="4BD70BB1" w14:textId="77777777" w:rsidTr="00010846">
        <w:tc>
          <w:tcPr>
            <w:tcW w:w="9360" w:type="dxa"/>
          </w:tcPr>
          <w:p w14:paraId="0A2E6FCE" w14:textId="77777777" w:rsidR="008423E4" w:rsidRPr="00A8133F" w:rsidRDefault="00CB65C0" w:rsidP="008A06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83E59D" w14:textId="77777777" w:rsidR="008423E4" w:rsidRPr="008A06C2" w:rsidRDefault="008423E4" w:rsidP="008A06C2">
            <w:pPr>
              <w:rPr>
                <w:sz w:val="22"/>
                <w:szCs w:val="22"/>
              </w:rPr>
            </w:pPr>
          </w:p>
          <w:p w14:paraId="0B6CB8AC" w14:textId="1EA35948" w:rsidR="008423E4" w:rsidRDefault="00CB65C0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Each original </w:t>
            </w:r>
            <w:r w:rsidR="002B316E">
              <w:t xml:space="preserve">occupational </w:t>
            </w:r>
            <w:r>
              <w:t xml:space="preserve">license and renewal license application for an individual is subject to a criminal background check. Applications may be denied if there are criminal convictions or deferred adjudications involving certain offenses. </w:t>
            </w:r>
            <w:r w:rsidR="005A4507">
              <w:t xml:space="preserve">As such, </w:t>
            </w:r>
            <w:r>
              <w:t xml:space="preserve">many </w:t>
            </w:r>
            <w:r w:rsidR="002B316E">
              <w:t xml:space="preserve">individuals </w:t>
            </w:r>
            <w:r w:rsidR="00C4003A">
              <w:t xml:space="preserve">who have served </w:t>
            </w:r>
            <w:r w:rsidR="002B316E">
              <w:t xml:space="preserve">sentences in prison </w:t>
            </w:r>
            <w:r w:rsidR="00C4003A">
              <w:t xml:space="preserve">are not eligible for certain licenses despite having attained </w:t>
            </w:r>
            <w:r>
              <w:t xml:space="preserve">highly marketable </w:t>
            </w:r>
            <w:r w:rsidR="00C4003A">
              <w:t>skills and experience during their incarceration.</w:t>
            </w:r>
            <w:r>
              <w:t xml:space="preserve"> Allowing </w:t>
            </w:r>
            <w:r w:rsidR="00C4003A">
              <w:t xml:space="preserve">these individuals </w:t>
            </w:r>
            <w:r>
              <w:t>to rece</w:t>
            </w:r>
            <w:r w:rsidR="00C4003A">
              <w:t>i</w:t>
            </w:r>
            <w:r>
              <w:t xml:space="preserve">ve </w:t>
            </w:r>
            <w:r w:rsidR="005A4507">
              <w:t xml:space="preserve">a license </w:t>
            </w:r>
            <w:r w:rsidR="002B316E">
              <w:t xml:space="preserve">could both </w:t>
            </w:r>
            <w:r>
              <w:t>fix a gap in the workforce and create opportu</w:t>
            </w:r>
            <w:r>
              <w:t xml:space="preserve">nities for people reentering society. </w:t>
            </w:r>
            <w:r w:rsidR="002B316E">
              <w:t>C.S.</w:t>
            </w:r>
            <w:r>
              <w:t>H</w:t>
            </w:r>
            <w:r w:rsidR="002B316E">
              <w:t>.</w:t>
            </w:r>
            <w:r>
              <w:t>B</w:t>
            </w:r>
            <w:r w:rsidR="002B316E">
              <w:t>.</w:t>
            </w:r>
            <w:r w:rsidR="008A33F4">
              <w:t> </w:t>
            </w:r>
            <w:r>
              <w:t>823</w:t>
            </w:r>
            <w:r w:rsidR="002C753A">
              <w:t xml:space="preserve"> seeks to provide </w:t>
            </w:r>
            <w:r w:rsidR="00C4003A">
              <w:t xml:space="preserve">for inmates to be issued certain occupational licenses. </w:t>
            </w:r>
          </w:p>
          <w:p w14:paraId="5BC9127C" w14:textId="0A7D7E8E" w:rsidR="002C753A" w:rsidRPr="008A06C2" w:rsidRDefault="002C753A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A19AA" w14:paraId="3BB4ACAD" w14:textId="77777777" w:rsidTr="00010846">
        <w:tc>
          <w:tcPr>
            <w:tcW w:w="9360" w:type="dxa"/>
          </w:tcPr>
          <w:p w14:paraId="13E86DAE" w14:textId="77777777" w:rsidR="0017725B" w:rsidRDefault="00CB65C0" w:rsidP="008A06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C460A9" w14:textId="77777777" w:rsidR="0017725B" w:rsidRPr="008A06C2" w:rsidRDefault="0017725B" w:rsidP="008A06C2">
            <w:pPr>
              <w:rPr>
                <w:b/>
                <w:sz w:val="22"/>
                <w:szCs w:val="22"/>
                <w:u w:val="single"/>
              </w:rPr>
            </w:pPr>
          </w:p>
          <w:p w14:paraId="46BD12EE" w14:textId="77777777" w:rsidR="00505B3E" w:rsidRPr="00505B3E" w:rsidRDefault="00CB65C0" w:rsidP="008A06C2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5E8BFEA3" w14:textId="77777777" w:rsidR="0017725B" w:rsidRPr="008A06C2" w:rsidRDefault="0017725B" w:rsidP="008A06C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6A19AA" w14:paraId="012F1D7D" w14:textId="77777777" w:rsidTr="00010846">
        <w:tc>
          <w:tcPr>
            <w:tcW w:w="9360" w:type="dxa"/>
          </w:tcPr>
          <w:p w14:paraId="1D512D2F" w14:textId="77777777" w:rsidR="008423E4" w:rsidRPr="00A8133F" w:rsidRDefault="00CB65C0" w:rsidP="008A06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3F30BA" w14:textId="77777777" w:rsidR="008423E4" w:rsidRPr="008A06C2" w:rsidRDefault="008423E4" w:rsidP="008A06C2">
            <w:pPr>
              <w:rPr>
                <w:sz w:val="22"/>
                <w:szCs w:val="22"/>
              </w:rPr>
            </w:pPr>
          </w:p>
          <w:p w14:paraId="693D2270" w14:textId="725203D2" w:rsidR="00505B3E" w:rsidRDefault="00CB65C0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</w:t>
            </w:r>
            <w:r>
              <w:t xml:space="preserve">ority is expressly granted to the </w:t>
            </w:r>
            <w:r w:rsidRPr="00505B3E">
              <w:t>Texas Commission of Licensing and Regulation</w:t>
            </w:r>
            <w:r>
              <w:t xml:space="preserve"> in SECTION </w:t>
            </w:r>
            <w:r w:rsidR="0074459D">
              <w:t>1</w:t>
            </w:r>
            <w:r>
              <w:t xml:space="preserve"> of this bill.</w:t>
            </w:r>
          </w:p>
          <w:p w14:paraId="695F1ED7" w14:textId="77777777" w:rsidR="008423E4" w:rsidRPr="008A06C2" w:rsidRDefault="008423E4" w:rsidP="008A06C2">
            <w:pPr>
              <w:rPr>
                <w:b/>
                <w:sz w:val="22"/>
                <w:szCs w:val="22"/>
              </w:rPr>
            </w:pPr>
          </w:p>
        </w:tc>
      </w:tr>
      <w:tr w:rsidR="006A19AA" w14:paraId="1BD9186E" w14:textId="77777777" w:rsidTr="00010846">
        <w:tc>
          <w:tcPr>
            <w:tcW w:w="9360" w:type="dxa"/>
          </w:tcPr>
          <w:p w14:paraId="078AEFCC" w14:textId="50F6CC6D" w:rsidR="008423E4" w:rsidRDefault="00CB65C0" w:rsidP="008A06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0D5315" w14:textId="77777777" w:rsidR="008A06C2" w:rsidRPr="008A06C2" w:rsidRDefault="008A06C2" w:rsidP="008A06C2">
            <w:pPr>
              <w:rPr>
                <w:b/>
                <w:sz w:val="22"/>
                <w:szCs w:val="22"/>
              </w:rPr>
            </w:pPr>
          </w:p>
          <w:p w14:paraId="3664C8DD" w14:textId="1A434E35" w:rsidR="002E08B8" w:rsidRDefault="00CB65C0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05B3E">
              <w:t xml:space="preserve">H.B. </w:t>
            </w:r>
            <w:r w:rsidR="00C105C2">
              <w:t>823</w:t>
            </w:r>
            <w:r w:rsidR="00257297">
              <w:t xml:space="preserve"> amends the Occupations Code to </w:t>
            </w:r>
            <w:r>
              <w:t>exempt a person who performs air</w:t>
            </w:r>
            <w:r>
              <w:t xml:space="preserve"> conditioning and refrigeration-related work</w:t>
            </w:r>
            <w:r w:rsidR="004348F2">
              <w:t>,</w:t>
            </w:r>
            <w:r>
              <w:t xml:space="preserve"> electrical work</w:t>
            </w:r>
            <w:r w:rsidR="004348F2">
              <w:t>,</w:t>
            </w:r>
            <w:r>
              <w:t xml:space="preserve"> barbering</w:t>
            </w:r>
            <w:r w:rsidR="004348F2">
              <w:t>,</w:t>
            </w:r>
            <w:r>
              <w:t xml:space="preserve"> or cosmetology </w:t>
            </w:r>
            <w:r w:rsidR="00DC1D23">
              <w:t>as an inmate in the Texas Department of Criminal Justice</w:t>
            </w:r>
            <w:r w:rsidR="00DE159C">
              <w:t xml:space="preserve"> (TDCJ)</w:t>
            </w:r>
            <w:r>
              <w:t xml:space="preserve"> as part of a reentry program or under supervision acceptable to the Texas Department of Licensing and R</w:t>
            </w:r>
            <w:r>
              <w:t xml:space="preserve">egulation (TDLR) from the </w:t>
            </w:r>
            <w:r w:rsidRPr="00257297">
              <w:t>Air Conditioning and Refrigeration Contractor License Law</w:t>
            </w:r>
            <w:r>
              <w:t xml:space="preserve">, </w:t>
            </w:r>
            <w:r w:rsidRPr="00257297">
              <w:t>the Texas Elec</w:t>
            </w:r>
            <w:r>
              <w:t>trical Safety and Licensing Act, and statutory provisions regulating barbers and cosmetologists, as applicable.</w:t>
            </w:r>
          </w:p>
          <w:p w14:paraId="4B786950" w14:textId="1EEEFD4D" w:rsidR="00DC1D23" w:rsidRPr="008A06C2" w:rsidRDefault="00DC1D23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</w:p>
          <w:p w14:paraId="62CC7E14" w14:textId="09C61E3C" w:rsidR="00DC1D23" w:rsidRDefault="00CB65C0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</w:t>
            </w:r>
            <w:r w:rsidR="00C105C2">
              <w:t>823</w:t>
            </w:r>
            <w:r>
              <w:t xml:space="preserve"> authorizes the Texas Commission</w:t>
            </w:r>
            <w:r>
              <w:t xml:space="preserve"> of Licensing and Regulation to adopt rules authorizing the issuance of a license under those provisions to an applicant who is an inmate of TDCJ. </w:t>
            </w:r>
          </w:p>
          <w:p w14:paraId="18CA16CB" w14:textId="77777777" w:rsidR="008423E4" w:rsidRPr="008A06C2" w:rsidRDefault="008423E4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A19AA" w14:paraId="41458EA7" w14:textId="77777777" w:rsidTr="00010846">
        <w:tc>
          <w:tcPr>
            <w:tcW w:w="9360" w:type="dxa"/>
          </w:tcPr>
          <w:p w14:paraId="728AEDA7" w14:textId="77777777" w:rsidR="008423E4" w:rsidRPr="00A8133F" w:rsidRDefault="00CB65C0" w:rsidP="008A06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CC1AA0" w14:textId="77777777" w:rsidR="008423E4" w:rsidRPr="008A06C2" w:rsidRDefault="008423E4" w:rsidP="008A06C2">
            <w:pPr>
              <w:rPr>
                <w:sz w:val="22"/>
                <w:szCs w:val="22"/>
              </w:rPr>
            </w:pPr>
          </w:p>
          <w:p w14:paraId="6F2648CF" w14:textId="6411DA81" w:rsidR="008423E4" w:rsidRPr="003624F2" w:rsidRDefault="00CB65C0" w:rsidP="008A0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484FC0">
              <w:t>3</w:t>
            </w:r>
            <w:r>
              <w:t>.</w:t>
            </w:r>
          </w:p>
          <w:p w14:paraId="2AC4217D" w14:textId="77777777" w:rsidR="008423E4" w:rsidRPr="008A06C2" w:rsidRDefault="008423E4" w:rsidP="008A06C2">
            <w:pPr>
              <w:rPr>
                <w:b/>
                <w:sz w:val="22"/>
                <w:szCs w:val="22"/>
              </w:rPr>
            </w:pPr>
          </w:p>
        </w:tc>
      </w:tr>
      <w:tr w:rsidR="006A19AA" w14:paraId="58C74B2A" w14:textId="77777777" w:rsidTr="00010846">
        <w:tc>
          <w:tcPr>
            <w:tcW w:w="9360" w:type="dxa"/>
          </w:tcPr>
          <w:p w14:paraId="368E6DFB" w14:textId="77777777" w:rsidR="00EE7F67" w:rsidRDefault="00CB65C0" w:rsidP="008A06C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3F9A684" w14:textId="77777777" w:rsidR="00DE159C" w:rsidRPr="008A06C2" w:rsidRDefault="00DE159C" w:rsidP="008A06C2">
            <w:pPr>
              <w:jc w:val="both"/>
              <w:rPr>
                <w:sz w:val="22"/>
                <w:szCs w:val="22"/>
              </w:rPr>
            </w:pPr>
          </w:p>
          <w:p w14:paraId="0F953FF5" w14:textId="279484AB" w:rsidR="00DE159C" w:rsidRDefault="00CB65C0" w:rsidP="008A06C2">
            <w:pPr>
              <w:jc w:val="both"/>
            </w:pPr>
            <w:r>
              <w:t xml:space="preserve">While C.S.H.B. 823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07B26738" w14:textId="780F8415" w:rsidR="00DE159C" w:rsidRPr="008A06C2" w:rsidRDefault="00DE159C" w:rsidP="008A06C2">
            <w:pPr>
              <w:jc w:val="both"/>
              <w:rPr>
                <w:sz w:val="22"/>
                <w:szCs w:val="22"/>
              </w:rPr>
            </w:pPr>
          </w:p>
          <w:p w14:paraId="69AACEAA" w14:textId="62983FF8" w:rsidR="00DE159C" w:rsidRPr="00DE159C" w:rsidRDefault="00CB65C0" w:rsidP="008A06C2">
            <w:pPr>
              <w:jc w:val="both"/>
            </w:pPr>
            <w:r w:rsidRPr="00A7038D">
              <w:t>The substitute omits the provisions from the introduced that</w:t>
            </w:r>
            <w:r>
              <w:t xml:space="preserve"> revised</w:t>
            </w:r>
            <w:r w:rsidRPr="00A7038D">
              <w:t xml:space="preserve"> the</w:t>
            </w:r>
            <w:r w:rsidRPr="00A7038D">
              <w:t xml:space="preserve"> alternative means by which a person who was imprisoned may qualify for a license issued by TDLR</w:t>
            </w:r>
            <w:r w:rsidR="005908BC">
              <w:t>.</w:t>
            </w:r>
          </w:p>
        </w:tc>
      </w:tr>
    </w:tbl>
    <w:p w14:paraId="6D9C5C47" w14:textId="77777777" w:rsidR="008423E4" w:rsidRPr="008A06C2" w:rsidRDefault="008423E4" w:rsidP="008A06C2">
      <w:pPr>
        <w:jc w:val="both"/>
        <w:rPr>
          <w:rFonts w:ascii="Arial" w:hAnsi="Arial"/>
          <w:sz w:val="2"/>
          <w:szCs w:val="2"/>
        </w:rPr>
      </w:pPr>
    </w:p>
    <w:p w14:paraId="228CFB8B" w14:textId="77777777" w:rsidR="004108C3" w:rsidRPr="008A06C2" w:rsidRDefault="004108C3" w:rsidP="008A06C2">
      <w:pPr>
        <w:rPr>
          <w:sz w:val="2"/>
          <w:szCs w:val="2"/>
        </w:rPr>
      </w:pPr>
    </w:p>
    <w:sectPr w:rsidR="004108C3" w:rsidRPr="008A06C2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34E0" w14:textId="77777777" w:rsidR="00000000" w:rsidRDefault="00CB65C0">
      <w:r>
        <w:separator/>
      </w:r>
    </w:p>
  </w:endnote>
  <w:endnote w:type="continuationSeparator" w:id="0">
    <w:p w14:paraId="365B7238" w14:textId="77777777" w:rsidR="00000000" w:rsidRDefault="00CB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947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A19AA" w14:paraId="08406F11" w14:textId="77777777" w:rsidTr="009C1E9A">
      <w:trPr>
        <w:cantSplit/>
      </w:trPr>
      <w:tc>
        <w:tcPr>
          <w:tcW w:w="0" w:type="pct"/>
        </w:tcPr>
        <w:p w14:paraId="6E7A2D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2751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739C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3778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808E4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19AA" w14:paraId="5E5344BB" w14:textId="77777777" w:rsidTr="009C1E9A">
      <w:trPr>
        <w:cantSplit/>
      </w:trPr>
      <w:tc>
        <w:tcPr>
          <w:tcW w:w="0" w:type="pct"/>
        </w:tcPr>
        <w:p w14:paraId="2AF199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AD95AB" w14:textId="5F4DF25A" w:rsidR="00EC379B" w:rsidRPr="009C1E9A" w:rsidRDefault="00CB65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23599-D</w:t>
          </w:r>
        </w:p>
      </w:tc>
      <w:tc>
        <w:tcPr>
          <w:tcW w:w="2453" w:type="pct"/>
        </w:tcPr>
        <w:p w14:paraId="4B538648" w14:textId="24B007A0" w:rsidR="00EC379B" w:rsidRDefault="00CB65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4BE2">
            <w:t>23.105.285</w:t>
          </w:r>
          <w:r>
            <w:fldChar w:fldCharType="end"/>
          </w:r>
        </w:p>
      </w:tc>
    </w:tr>
    <w:tr w:rsidR="006A19AA" w14:paraId="4C53DFA3" w14:textId="77777777" w:rsidTr="009C1E9A">
      <w:trPr>
        <w:cantSplit/>
      </w:trPr>
      <w:tc>
        <w:tcPr>
          <w:tcW w:w="0" w:type="pct"/>
        </w:tcPr>
        <w:p w14:paraId="3B80AC3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5AFA71" w14:textId="3A53C295" w:rsidR="00EC379B" w:rsidRPr="009C1E9A" w:rsidRDefault="00CB65C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16252</w:t>
          </w:r>
        </w:p>
      </w:tc>
      <w:tc>
        <w:tcPr>
          <w:tcW w:w="2453" w:type="pct"/>
        </w:tcPr>
        <w:p w14:paraId="074699B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82F0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A19AA" w14:paraId="180C9B9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8B75ECF" w14:textId="158A23A9" w:rsidR="00EC379B" w:rsidRDefault="00CB65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A7B6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DBD08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B9660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B9C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755" w14:textId="77777777" w:rsidR="00000000" w:rsidRDefault="00CB65C0">
      <w:r>
        <w:separator/>
      </w:r>
    </w:p>
  </w:footnote>
  <w:footnote w:type="continuationSeparator" w:id="0">
    <w:p w14:paraId="29B6D550" w14:textId="77777777" w:rsidR="00000000" w:rsidRDefault="00CB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ABD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213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10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F6E"/>
    <w:multiLevelType w:val="hybridMultilevel"/>
    <w:tmpl w:val="98DA56A8"/>
    <w:lvl w:ilvl="0" w:tplc="723CE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20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4F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EE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0E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8F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0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A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24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2F12"/>
    <w:multiLevelType w:val="hybridMultilevel"/>
    <w:tmpl w:val="F42845A4"/>
    <w:lvl w:ilvl="0" w:tplc="1A80E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21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69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88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2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5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1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EB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E5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73CF"/>
    <w:multiLevelType w:val="hybridMultilevel"/>
    <w:tmpl w:val="143233F4"/>
    <w:lvl w:ilvl="0" w:tplc="86862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A4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AD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6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D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89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F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67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61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0102"/>
    <w:multiLevelType w:val="hybridMultilevel"/>
    <w:tmpl w:val="C418710A"/>
    <w:lvl w:ilvl="0" w:tplc="49A47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8A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21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7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46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EE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A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EE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D9"/>
    <w:rsid w:val="00000A70"/>
    <w:rsid w:val="000032B8"/>
    <w:rsid w:val="00003B06"/>
    <w:rsid w:val="000054B9"/>
    <w:rsid w:val="00007461"/>
    <w:rsid w:val="00010157"/>
    <w:rsid w:val="00010846"/>
    <w:rsid w:val="0001117E"/>
    <w:rsid w:val="0001125F"/>
    <w:rsid w:val="0001338E"/>
    <w:rsid w:val="00013D24"/>
    <w:rsid w:val="00014AF0"/>
    <w:rsid w:val="000155D6"/>
    <w:rsid w:val="00015D4E"/>
    <w:rsid w:val="00017A40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7C6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E3C"/>
    <w:rsid w:val="000D2CF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0F4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D82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297"/>
    <w:rsid w:val="00257429"/>
    <w:rsid w:val="00260FA4"/>
    <w:rsid w:val="00261183"/>
    <w:rsid w:val="00262A66"/>
    <w:rsid w:val="00263140"/>
    <w:rsid w:val="002631C8"/>
    <w:rsid w:val="00265133"/>
    <w:rsid w:val="00265A23"/>
    <w:rsid w:val="002665A4"/>
    <w:rsid w:val="00267841"/>
    <w:rsid w:val="002710C3"/>
    <w:rsid w:val="002734D6"/>
    <w:rsid w:val="00274C45"/>
    <w:rsid w:val="00275109"/>
    <w:rsid w:val="00275BEE"/>
    <w:rsid w:val="00277434"/>
    <w:rsid w:val="00280123"/>
    <w:rsid w:val="00280405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16E"/>
    <w:rsid w:val="002B391B"/>
    <w:rsid w:val="002B5B42"/>
    <w:rsid w:val="002B7BA7"/>
    <w:rsid w:val="002C1C17"/>
    <w:rsid w:val="002C3203"/>
    <w:rsid w:val="002C3B07"/>
    <w:rsid w:val="002C532B"/>
    <w:rsid w:val="002C5713"/>
    <w:rsid w:val="002C753A"/>
    <w:rsid w:val="002D05CC"/>
    <w:rsid w:val="002D305A"/>
    <w:rsid w:val="002E08B8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D92"/>
    <w:rsid w:val="00303B0C"/>
    <w:rsid w:val="0030459C"/>
    <w:rsid w:val="00313DFE"/>
    <w:rsid w:val="003141C0"/>
    <w:rsid w:val="003143B2"/>
    <w:rsid w:val="00314563"/>
    <w:rsid w:val="00314821"/>
    <w:rsid w:val="0031483F"/>
    <w:rsid w:val="0031741B"/>
    <w:rsid w:val="00321337"/>
    <w:rsid w:val="0032184C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C78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9CB"/>
    <w:rsid w:val="00387B60"/>
    <w:rsid w:val="00390098"/>
    <w:rsid w:val="00392DA1"/>
    <w:rsid w:val="00393718"/>
    <w:rsid w:val="003A0296"/>
    <w:rsid w:val="003A10BC"/>
    <w:rsid w:val="003A52F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63E"/>
    <w:rsid w:val="003C36FD"/>
    <w:rsid w:val="003C65EB"/>
    <w:rsid w:val="003C664C"/>
    <w:rsid w:val="003D726D"/>
    <w:rsid w:val="003E0875"/>
    <w:rsid w:val="003E0BB8"/>
    <w:rsid w:val="003E4D5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6548"/>
    <w:rsid w:val="0043190E"/>
    <w:rsid w:val="004324E9"/>
    <w:rsid w:val="004348F2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0C3"/>
    <w:rsid w:val="00461B69"/>
    <w:rsid w:val="00462B3D"/>
    <w:rsid w:val="00474927"/>
    <w:rsid w:val="00475913"/>
    <w:rsid w:val="00475DB0"/>
    <w:rsid w:val="00480080"/>
    <w:rsid w:val="004824A7"/>
    <w:rsid w:val="00483AF0"/>
    <w:rsid w:val="00484167"/>
    <w:rsid w:val="00484FC0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439"/>
    <w:rsid w:val="004F32AD"/>
    <w:rsid w:val="004F57CB"/>
    <w:rsid w:val="004F64F6"/>
    <w:rsid w:val="004F69C0"/>
    <w:rsid w:val="00500121"/>
    <w:rsid w:val="005017AC"/>
    <w:rsid w:val="00501E8A"/>
    <w:rsid w:val="00505121"/>
    <w:rsid w:val="00505B3E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D69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2A90"/>
    <w:rsid w:val="00573401"/>
    <w:rsid w:val="00576714"/>
    <w:rsid w:val="0057685A"/>
    <w:rsid w:val="00582B69"/>
    <w:rsid w:val="005847EF"/>
    <w:rsid w:val="005851E6"/>
    <w:rsid w:val="005878B7"/>
    <w:rsid w:val="005908BC"/>
    <w:rsid w:val="00592C9A"/>
    <w:rsid w:val="00593DF8"/>
    <w:rsid w:val="00595745"/>
    <w:rsid w:val="005A0E18"/>
    <w:rsid w:val="005A12A5"/>
    <w:rsid w:val="005A3790"/>
    <w:rsid w:val="005A3CCB"/>
    <w:rsid w:val="005A4507"/>
    <w:rsid w:val="005A6D13"/>
    <w:rsid w:val="005B031F"/>
    <w:rsid w:val="005B27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353"/>
    <w:rsid w:val="005F7AAA"/>
    <w:rsid w:val="00600BAA"/>
    <w:rsid w:val="006012DA"/>
    <w:rsid w:val="00601374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3C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A55"/>
    <w:rsid w:val="0067036E"/>
    <w:rsid w:val="00671693"/>
    <w:rsid w:val="006757AA"/>
    <w:rsid w:val="0067770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9AA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ADD"/>
    <w:rsid w:val="006E0CAC"/>
    <w:rsid w:val="006E1CFB"/>
    <w:rsid w:val="006E1F94"/>
    <w:rsid w:val="006E26C1"/>
    <w:rsid w:val="006E30A8"/>
    <w:rsid w:val="006E45B0"/>
    <w:rsid w:val="006E5692"/>
    <w:rsid w:val="006F08B6"/>
    <w:rsid w:val="006F365D"/>
    <w:rsid w:val="006F4BB0"/>
    <w:rsid w:val="006F6C81"/>
    <w:rsid w:val="007031BD"/>
    <w:rsid w:val="00703E80"/>
    <w:rsid w:val="00705276"/>
    <w:rsid w:val="007066A0"/>
    <w:rsid w:val="007075FB"/>
    <w:rsid w:val="0070787B"/>
    <w:rsid w:val="00707E0F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6F9"/>
    <w:rsid w:val="00735B9D"/>
    <w:rsid w:val="007365A5"/>
    <w:rsid w:val="00736FB0"/>
    <w:rsid w:val="007404BC"/>
    <w:rsid w:val="00740D13"/>
    <w:rsid w:val="00740F5F"/>
    <w:rsid w:val="00742794"/>
    <w:rsid w:val="00743C4C"/>
    <w:rsid w:val="0074459D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E1C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3CA"/>
    <w:rsid w:val="007A7EC1"/>
    <w:rsid w:val="007B4FCA"/>
    <w:rsid w:val="007B7B85"/>
    <w:rsid w:val="007C462E"/>
    <w:rsid w:val="007C496B"/>
    <w:rsid w:val="007C6803"/>
    <w:rsid w:val="007D2892"/>
    <w:rsid w:val="007D2DCC"/>
    <w:rsid w:val="007D333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0792E"/>
    <w:rsid w:val="00812BE3"/>
    <w:rsid w:val="00814516"/>
    <w:rsid w:val="00815C9D"/>
    <w:rsid w:val="008170E2"/>
    <w:rsid w:val="00823E4C"/>
    <w:rsid w:val="00827749"/>
    <w:rsid w:val="00827B7E"/>
    <w:rsid w:val="00830EEB"/>
    <w:rsid w:val="0083157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DD9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141F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06C2"/>
    <w:rsid w:val="008A3188"/>
    <w:rsid w:val="008A33F4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5C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6B1"/>
    <w:rsid w:val="0096482F"/>
    <w:rsid w:val="00964E3A"/>
    <w:rsid w:val="009669B2"/>
    <w:rsid w:val="00967126"/>
    <w:rsid w:val="00970EAE"/>
    <w:rsid w:val="00971627"/>
    <w:rsid w:val="00972797"/>
    <w:rsid w:val="0097279D"/>
    <w:rsid w:val="009727F4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75E2"/>
    <w:rsid w:val="009A1883"/>
    <w:rsid w:val="009A39F5"/>
    <w:rsid w:val="009A3A7F"/>
    <w:rsid w:val="009A4588"/>
    <w:rsid w:val="009A5EA5"/>
    <w:rsid w:val="009A7B64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6CF"/>
    <w:rsid w:val="009C2A33"/>
    <w:rsid w:val="009C2E49"/>
    <w:rsid w:val="009C36CD"/>
    <w:rsid w:val="009C43A5"/>
    <w:rsid w:val="009C5A1D"/>
    <w:rsid w:val="009C6B08"/>
    <w:rsid w:val="009C70FC"/>
    <w:rsid w:val="009D002B"/>
    <w:rsid w:val="009D0568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38D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0119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28A"/>
    <w:rsid w:val="00AF1433"/>
    <w:rsid w:val="00AF48B4"/>
    <w:rsid w:val="00AF4923"/>
    <w:rsid w:val="00AF7C74"/>
    <w:rsid w:val="00B000AF"/>
    <w:rsid w:val="00B04E79"/>
    <w:rsid w:val="00B07488"/>
    <w:rsid w:val="00B075A2"/>
    <w:rsid w:val="00B10D29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FD8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5DCD"/>
    <w:rsid w:val="00C105C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03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728"/>
    <w:rsid w:val="00C82743"/>
    <w:rsid w:val="00C834CE"/>
    <w:rsid w:val="00C84BE2"/>
    <w:rsid w:val="00C9047F"/>
    <w:rsid w:val="00C9049C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BEC"/>
    <w:rsid w:val="00CB65C0"/>
    <w:rsid w:val="00CB74CB"/>
    <w:rsid w:val="00CB7E04"/>
    <w:rsid w:val="00CC15A7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0803"/>
    <w:rsid w:val="00D11B0B"/>
    <w:rsid w:val="00D12A3E"/>
    <w:rsid w:val="00D2159C"/>
    <w:rsid w:val="00D22160"/>
    <w:rsid w:val="00D22172"/>
    <w:rsid w:val="00D2301B"/>
    <w:rsid w:val="00D239EE"/>
    <w:rsid w:val="00D30534"/>
    <w:rsid w:val="00D35728"/>
    <w:rsid w:val="00D37BCF"/>
    <w:rsid w:val="00D37CBB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D23"/>
    <w:rsid w:val="00DC1F1B"/>
    <w:rsid w:val="00DC3D8F"/>
    <w:rsid w:val="00DC42E8"/>
    <w:rsid w:val="00DC6DBB"/>
    <w:rsid w:val="00DC7761"/>
    <w:rsid w:val="00DD0022"/>
    <w:rsid w:val="00DD073C"/>
    <w:rsid w:val="00DD128C"/>
    <w:rsid w:val="00DD1A22"/>
    <w:rsid w:val="00DD1B8F"/>
    <w:rsid w:val="00DD5BCC"/>
    <w:rsid w:val="00DD7509"/>
    <w:rsid w:val="00DD79C7"/>
    <w:rsid w:val="00DD7D6E"/>
    <w:rsid w:val="00DE159C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A56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EA9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5FE"/>
    <w:rsid w:val="00ED783A"/>
    <w:rsid w:val="00EE2E34"/>
    <w:rsid w:val="00EE2E91"/>
    <w:rsid w:val="00EE43A2"/>
    <w:rsid w:val="00EE46B7"/>
    <w:rsid w:val="00EE5A49"/>
    <w:rsid w:val="00EE664B"/>
    <w:rsid w:val="00EE7F67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15FB"/>
    <w:rsid w:val="00F6514B"/>
    <w:rsid w:val="00F6587F"/>
    <w:rsid w:val="00F67981"/>
    <w:rsid w:val="00F706CA"/>
    <w:rsid w:val="00F70F8D"/>
    <w:rsid w:val="00F71C5A"/>
    <w:rsid w:val="00F733A4"/>
    <w:rsid w:val="00F76EE1"/>
    <w:rsid w:val="00F7758F"/>
    <w:rsid w:val="00F82811"/>
    <w:rsid w:val="00F84153"/>
    <w:rsid w:val="00F85661"/>
    <w:rsid w:val="00F86DD3"/>
    <w:rsid w:val="00F96602"/>
    <w:rsid w:val="00F9735A"/>
    <w:rsid w:val="00FA32FC"/>
    <w:rsid w:val="00FA3D9A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0D1"/>
    <w:rsid w:val="00FF517B"/>
    <w:rsid w:val="00FF6858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5AC61-E1F6-473C-895E-BD3E56D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05D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5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5D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5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5DCD"/>
    <w:rPr>
      <w:b/>
      <w:bCs/>
    </w:rPr>
  </w:style>
  <w:style w:type="paragraph" w:styleId="Revision">
    <w:name w:val="Revision"/>
    <w:hidden/>
    <w:uiPriority w:val="99"/>
    <w:semiHidden/>
    <w:rsid w:val="00C05D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3E1C"/>
    <w:pPr>
      <w:ind w:left="720"/>
      <w:contextualSpacing/>
    </w:pPr>
  </w:style>
  <w:style w:type="character" w:styleId="Hyperlink">
    <w:name w:val="Hyperlink"/>
    <w:basedOn w:val="DefaultParagraphFont"/>
    <w:unhideWhenUsed/>
    <w:rsid w:val="004265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2077</Characters>
  <Application>Microsoft Office Word</Application>
  <DocSecurity>4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HB00823 (Committee Report (Substituted))</vt:lpstr>
    </vt:vector>
  </TitlesOfParts>
  <Company>State of Texas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23599</dc:subject>
  <dc:creator>State of Texas</dc:creator>
  <dc:description>HB 823 by Allen-(H)Corrections (Substitute Document Number: 88R 16252)</dc:description>
  <cp:lastModifiedBy>Thomas Weis</cp:lastModifiedBy>
  <cp:revision>2</cp:revision>
  <cp:lastPrinted>2003-11-26T17:21:00Z</cp:lastPrinted>
  <dcterms:created xsi:type="dcterms:W3CDTF">2023-04-19T23:03:00Z</dcterms:created>
  <dcterms:modified xsi:type="dcterms:W3CDTF">2023-04-19T23:03:00Z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23.105.285</vt:lpwstr>
  </property>
</Properties>
</file>