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F2A94" w14:paraId="7288B768" w14:textId="77777777" w:rsidTr="00345119">
        <w:tc>
          <w:tcPr>
            <w:tcW w:w="9576" w:type="dxa"/>
            <w:noWrap/>
          </w:tcPr>
          <w:p w14:paraId="3B52CCD4" w14:textId="77777777" w:rsidR="008423E4" w:rsidRPr="0022177D" w:rsidRDefault="002F6E21" w:rsidP="005F5BDA">
            <w:pPr>
              <w:pStyle w:val="Heading1"/>
            </w:pPr>
            <w:r w:rsidRPr="00631897">
              <w:t>BILL ANALYSIS</w:t>
            </w:r>
          </w:p>
        </w:tc>
      </w:tr>
    </w:tbl>
    <w:p w14:paraId="01F0FB2F" w14:textId="77777777" w:rsidR="008423E4" w:rsidRPr="0022177D" w:rsidRDefault="008423E4" w:rsidP="005F5BDA">
      <w:pPr>
        <w:jc w:val="center"/>
      </w:pPr>
    </w:p>
    <w:p w14:paraId="14E0EADB" w14:textId="77777777" w:rsidR="008423E4" w:rsidRPr="00B31F0E" w:rsidRDefault="008423E4" w:rsidP="005F5BDA"/>
    <w:p w14:paraId="139E908E" w14:textId="77777777" w:rsidR="008423E4" w:rsidRPr="00742794" w:rsidRDefault="008423E4" w:rsidP="005F5BD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2A94" w14:paraId="6C163859" w14:textId="77777777" w:rsidTr="00345119">
        <w:tc>
          <w:tcPr>
            <w:tcW w:w="9576" w:type="dxa"/>
          </w:tcPr>
          <w:p w14:paraId="451C5C85" w14:textId="6F79513C" w:rsidR="008423E4" w:rsidRPr="00861995" w:rsidRDefault="002F6E21" w:rsidP="005F5BDA">
            <w:pPr>
              <w:jc w:val="right"/>
            </w:pPr>
            <w:r>
              <w:t>H.B. 836</w:t>
            </w:r>
          </w:p>
        </w:tc>
      </w:tr>
      <w:tr w:rsidR="00CF2A94" w14:paraId="6904324E" w14:textId="77777777" w:rsidTr="00345119">
        <w:tc>
          <w:tcPr>
            <w:tcW w:w="9576" w:type="dxa"/>
          </w:tcPr>
          <w:p w14:paraId="2B7CACF6" w14:textId="367E3C04" w:rsidR="008423E4" w:rsidRPr="00861995" w:rsidRDefault="002F6E21" w:rsidP="005F5BDA">
            <w:pPr>
              <w:jc w:val="right"/>
            </w:pPr>
            <w:r>
              <w:t xml:space="preserve">By: </w:t>
            </w:r>
            <w:r w:rsidR="00543C2D">
              <w:t>Raymond</w:t>
            </w:r>
          </w:p>
        </w:tc>
      </w:tr>
      <w:tr w:rsidR="00CF2A94" w14:paraId="762CEBCC" w14:textId="77777777" w:rsidTr="00345119">
        <w:tc>
          <w:tcPr>
            <w:tcW w:w="9576" w:type="dxa"/>
          </w:tcPr>
          <w:p w14:paraId="610ACB7A" w14:textId="37CF4155" w:rsidR="008423E4" w:rsidRPr="00861995" w:rsidRDefault="002F6E21" w:rsidP="005F5BDA">
            <w:pPr>
              <w:jc w:val="right"/>
            </w:pPr>
            <w:r>
              <w:t>Defense &amp; Veterans' Affairs</w:t>
            </w:r>
          </w:p>
        </w:tc>
      </w:tr>
      <w:tr w:rsidR="00CF2A94" w14:paraId="36F2578A" w14:textId="77777777" w:rsidTr="00345119">
        <w:tc>
          <w:tcPr>
            <w:tcW w:w="9576" w:type="dxa"/>
          </w:tcPr>
          <w:p w14:paraId="345EE134" w14:textId="259BAAFE" w:rsidR="008423E4" w:rsidRDefault="002F6E21" w:rsidP="005F5BDA">
            <w:pPr>
              <w:jc w:val="right"/>
            </w:pPr>
            <w:r>
              <w:t>Committee Report (Unamended)</w:t>
            </w:r>
          </w:p>
        </w:tc>
      </w:tr>
    </w:tbl>
    <w:p w14:paraId="0A152633" w14:textId="77777777" w:rsidR="008423E4" w:rsidRDefault="008423E4" w:rsidP="005F5BDA">
      <w:pPr>
        <w:tabs>
          <w:tab w:val="right" w:pos="9360"/>
        </w:tabs>
      </w:pPr>
    </w:p>
    <w:p w14:paraId="68671691" w14:textId="77777777" w:rsidR="008423E4" w:rsidRDefault="008423E4" w:rsidP="005F5BDA"/>
    <w:p w14:paraId="55D9A0AD" w14:textId="77777777" w:rsidR="008423E4" w:rsidRDefault="008423E4" w:rsidP="005F5BD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F2A94" w14:paraId="2C98EE87" w14:textId="77777777" w:rsidTr="00345119">
        <w:tc>
          <w:tcPr>
            <w:tcW w:w="9576" w:type="dxa"/>
          </w:tcPr>
          <w:p w14:paraId="18F5EB2F" w14:textId="77777777" w:rsidR="008423E4" w:rsidRPr="00A8133F" w:rsidRDefault="002F6E21" w:rsidP="005F5B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4C37DA" w14:textId="77777777" w:rsidR="008423E4" w:rsidRDefault="008423E4" w:rsidP="005F5BDA"/>
          <w:p w14:paraId="60076E80" w14:textId="45A6C3BB" w:rsidR="008423E4" w:rsidRDefault="002F6E21" w:rsidP="005F5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67268">
              <w:t xml:space="preserve">Currently, members of the Texas State Guard are classified under the term "Honorary Reserve" upon retirement. This term </w:t>
            </w:r>
            <w:r w:rsidRPr="00367268">
              <w:t>misleading</w:t>
            </w:r>
            <w:r w:rsidR="00015D92">
              <w:t>ly</w:t>
            </w:r>
            <w:r w:rsidRPr="00367268">
              <w:t xml:space="preserve"> suggest</w:t>
            </w:r>
            <w:r w:rsidR="00015D92">
              <w:t>s that</w:t>
            </w:r>
            <w:r w:rsidRPr="00367268">
              <w:t xml:space="preserve"> retired members are included in </w:t>
            </w:r>
            <w:r w:rsidR="00015D92">
              <w:t xml:space="preserve">the </w:t>
            </w:r>
            <w:r w:rsidRPr="00367268">
              <w:t xml:space="preserve">Texas State Guard reserve forces. </w:t>
            </w:r>
            <w:r w:rsidR="00C810FA">
              <w:t>Additionally</w:t>
            </w:r>
            <w:r w:rsidRPr="00367268">
              <w:t xml:space="preserve">, </w:t>
            </w:r>
            <w:r w:rsidR="00C810FA">
              <w:t xml:space="preserve">the </w:t>
            </w:r>
            <w:r w:rsidRPr="00367268">
              <w:t>Texas State Guard retirement policy is too broad and requires adjustment to encourage retainment.</w:t>
            </w:r>
            <w:r>
              <w:t xml:space="preserve"> </w:t>
            </w:r>
            <w:r w:rsidRPr="00367268">
              <w:t>H</w:t>
            </w:r>
            <w:r w:rsidR="00C810FA">
              <w:t>.</w:t>
            </w:r>
            <w:r w:rsidRPr="00367268">
              <w:t>B</w:t>
            </w:r>
            <w:r w:rsidR="00C810FA">
              <w:t>.</w:t>
            </w:r>
            <w:r w:rsidRPr="00367268">
              <w:t xml:space="preserve"> 836 </w:t>
            </w:r>
            <w:r w:rsidR="00C810FA">
              <w:t xml:space="preserve">seeks to address these issues by </w:t>
            </w:r>
            <w:r w:rsidR="00F020EB" w:rsidRPr="00367268">
              <w:t>replac</w:t>
            </w:r>
            <w:r w:rsidR="00F020EB">
              <w:t>ing</w:t>
            </w:r>
            <w:r w:rsidR="00F020EB" w:rsidRPr="00367268">
              <w:t xml:space="preserve"> the term "Honorary Reserve"</w:t>
            </w:r>
            <w:r w:rsidR="00F020EB">
              <w:t xml:space="preserve"> and revising the requirements to retire from service.  </w:t>
            </w:r>
          </w:p>
          <w:p w14:paraId="18270935" w14:textId="77777777" w:rsidR="008423E4" w:rsidRPr="00E26B13" w:rsidRDefault="008423E4" w:rsidP="005F5BDA">
            <w:pPr>
              <w:rPr>
                <w:b/>
              </w:rPr>
            </w:pPr>
          </w:p>
        </w:tc>
      </w:tr>
      <w:tr w:rsidR="00CF2A94" w14:paraId="67AEDD6F" w14:textId="77777777" w:rsidTr="00345119">
        <w:tc>
          <w:tcPr>
            <w:tcW w:w="9576" w:type="dxa"/>
          </w:tcPr>
          <w:p w14:paraId="02037455" w14:textId="77777777" w:rsidR="0017725B" w:rsidRDefault="002F6E21" w:rsidP="005F5B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9298B3" w14:textId="77777777" w:rsidR="0017725B" w:rsidRDefault="0017725B" w:rsidP="005F5BDA">
            <w:pPr>
              <w:rPr>
                <w:b/>
                <w:u w:val="single"/>
              </w:rPr>
            </w:pPr>
          </w:p>
          <w:p w14:paraId="57E76D04" w14:textId="644E1B6D" w:rsidR="00AA3F51" w:rsidRPr="00AA3F51" w:rsidRDefault="002F6E21" w:rsidP="005F5BDA">
            <w:pPr>
              <w:jc w:val="both"/>
            </w:pPr>
            <w:r>
              <w:t>It is the committee's opinion that this bill does not expressly create a criminal offense, increase the punishment for an existing crimi</w:t>
            </w:r>
            <w:r>
              <w:t>nal offense or category of offenses, or change the eligibility of a person for community supervision, parole, or mandatory supervision.</w:t>
            </w:r>
          </w:p>
          <w:p w14:paraId="544B4BFC" w14:textId="77777777" w:rsidR="0017725B" w:rsidRPr="0017725B" w:rsidRDefault="0017725B" w:rsidP="005F5BDA">
            <w:pPr>
              <w:rPr>
                <w:b/>
                <w:u w:val="single"/>
              </w:rPr>
            </w:pPr>
          </w:p>
        </w:tc>
      </w:tr>
      <w:tr w:rsidR="00CF2A94" w14:paraId="27F8596D" w14:textId="77777777" w:rsidTr="00345119">
        <w:tc>
          <w:tcPr>
            <w:tcW w:w="9576" w:type="dxa"/>
          </w:tcPr>
          <w:p w14:paraId="3A71D1D4" w14:textId="77777777" w:rsidR="008423E4" w:rsidRPr="00A8133F" w:rsidRDefault="002F6E21" w:rsidP="005F5B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8B7813" w14:textId="77777777" w:rsidR="008423E4" w:rsidRDefault="008423E4" w:rsidP="005F5BDA"/>
          <w:p w14:paraId="4202D1F3" w14:textId="013D2E6C" w:rsidR="00AA3F51" w:rsidRDefault="002F6E21" w:rsidP="005F5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14:paraId="036DD7B1" w14:textId="77777777" w:rsidR="008423E4" w:rsidRPr="00E21FDC" w:rsidRDefault="008423E4" w:rsidP="005F5BDA">
            <w:pPr>
              <w:rPr>
                <w:b/>
              </w:rPr>
            </w:pPr>
          </w:p>
        </w:tc>
      </w:tr>
      <w:tr w:rsidR="00CF2A94" w14:paraId="59D13353" w14:textId="77777777" w:rsidTr="00345119">
        <w:tc>
          <w:tcPr>
            <w:tcW w:w="9576" w:type="dxa"/>
          </w:tcPr>
          <w:p w14:paraId="7D8B5FF1" w14:textId="77777777" w:rsidR="008423E4" w:rsidRPr="00A8133F" w:rsidRDefault="002F6E21" w:rsidP="005F5B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ECAD57" w14:textId="77777777" w:rsidR="008423E4" w:rsidRDefault="008423E4" w:rsidP="005F5BDA"/>
          <w:p w14:paraId="7B5527C4" w14:textId="2330C973" w:rsidR="00373A1B" w:rsidRDefault="002F6E21" w:rsidP="005F5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836 amends the Government Code to </w:t>
            </w:r>
            <w:r w:rsidR="0098229D">
              <w:t xml:space="preserve">replace the authorization </w:t>
            </w:r>
            <w:r>
              <w:t xml:space="preserve">for the governor or adjutant general, </w:t>
            </w:r>
            <w:r w:rsidRPr="00373A1B">
              <w:t>under the governor's authority and direction</w:t>
            </w:r>
            <w:r>
              <w:t xml:space="preserve">, </w:t>
            </w:r>
            <w:r>
              <w:t xml:space="preserve">to transfer </w:t>
            </w:r>
            <w:r w:rsidR="00352B37">
              <w:t xml:space="preserve">certain </w:t>
            </w:r>
            <w:r>
              <w:t>officer</w:t>
            </w:r>
            <w:r w:rsidR="00352B37">
              <w:t>s</w:t>
            </w:r>
            <w:r>
              <w:t xml:space="preserve"> or enlisted service member</w:t>
            </w:r>
            <w:r w:rsidR="00352B37">
              <w:t>s</w:t>
            </w:r>
            <w:r>
              <w:t xml:space="preserve"> of the Texas State Guard </w:t>
            </w:r>
            <w:r w:rsidRPr="00373A1B">
              <w:t xml:space="preserve">to the Texas State Guard Honorary Reserve </w:t>
            </w:r>
            <w:r w:rsidR="0098229D">
              <w:t xml:space="preserve">with </w:t>
            </w:r>
            <w:r w:rsidR="001B75F0">
              <w:t xml:space="preserve">a </w:t>
            </w:r>
            <w:r w:rsidR="0098229D">
              <w:t xml:space="preserve">requirement to </w:t>
            </w:r>
            <w:r>
              <w:t xml:space="preserve">place </w:t>
            </w:r>
            <w:r w:rsidR="006D167B">
              <w:t>those</w:t>
            </w:r>
            <w:r>
              <w:t xml:space="preserve"> </w:t>
            </w:r>
            <w:r w:rsidR="00352B37">
              <w:t>officer</w:t>
            </w:r>
            <w:r w:rsidR="006D167B">
              <w:t>s</w:t>
            </w:r>
            <w:r w:rsidR="00352B37">
              <w:t xml:space="preserve"> or service </w:t>
            </w:r>
            <w:r>
              <w:t>member</w:t>
            </w:r>
            <w:r w:rsidR="006D167B">
              <w:t>s</w:t>
            </w:r>
            <w:r>
              <w:t xml:space="preserve"> on retired status</w:t>
            </w:r>
            <w:r w:rsidR="006D167B">
              <w:t xml:space="preserve"> </w:t>
            </w:r>
            <w:r w:rsidR="00E77C0F">
              <w:t xml:space="preserve">upon </w:t>
            </w:r>
            <w:r w:rsidR="006D167B">
              <w:t xml:space="preserve">separation from the Texas State Guard. The bill </w:t>
            </w:r>
            <w:r w:rsidR="00F95DA1">
              <w:t>does</w:t>
            </w:r>
            <w:r w:rsidR="006D167B">
              <w:t xml:space="preserve"> the following with respect to that placement:</w:t>
            </w:r>
          </w:p>
          <w:p w14:paraId="0D2DECF7" w14:textId="2FD6810F" w:rsidR="00373A1B" w:rsidRDefault="002F6E21" w:rsidP="005F5B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extends the authority to fulfill </w:t>
            </w:r>
            <w:r w:rsidR="00602255">
              <w:t>the placement</w:t>
            </w:r>
            <w:r>
              <w:t xml:space="preserve"> requirement to the </w:t>
            </w:r>
            <w:r w:rsidRPr="00373A1B">
              <w:t>commander of the Texas State Guard</w:t>
            </w:r>
            <w:r w:rsidR="00FC4EA5">
              <w:t xml:space="preserve"> under the governor's authority and direction</w:t>
            </w:r>
            <w:r>
              <w:t>;</w:t>
            </w:r>
            <w:r w:rsidR="00352B37">
              <w:t xml:space="preserve"> </w:t>
            </w:r>
          </w:p>
          <w:p w14:paraId="588028EF" w14:textId="7D52D5BE" w:rsidR="006D167B" w:rsidRDefault="002F6E21" w:rsidP="005F5B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removes</w:t>
            </w:r>
            <w:r w:rsidR="003F76E6">
              <w:t xml:space="preserve"> as a condition </w:t>
            </w:r>
            <w:r>
              <w:t xml:space="preserve">of </w:t>
            </w:r>
            <w:r w:rsidR="00252F24">
              <w:t xml:space="preserve">the </w:t>
            </w:r>
            <w:r>
              <w:t xml:space="preserve">placement </w:t>
            </w:r>
            <w:r w:rsidR="003F76E6">
              <w:t xml:space="preserve">that the </w:t>
            </w:r>
            <w:r w:rsidR="00352B37">
              <w:t xml:space="preserve">officer or service </w:t>
            </w:r>
            <w:r w:rsidR="003F76E6">
              <w:t xml:space="preserve">member </w:t>
            </w:r>
            <w:r w:rsidR="001B75F0">
              <w:t>be</w:t>
            </w:r>
            <w:r w:rsidR="003F76E6">
              <w:t xml:space="preserve"> at least 60 years of age</w:t>
            </w:r>
            <w:r>
              <w:t>;</w:t>
            </w:r>
          </w:p>
          <w:p w14:paraId="654DD7FC" w14:textId="77777777" w:rsidR="006D167B" w:rsidRDefault="002F6E21" w:rsidP="005F5B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specifies that the condition of placement based on physical disability is </w:t>
            </w:r>
            <w:r w:rsidRPr="003F76E6">
              <w:t>as a result of service</w:t>
            </w:r>
            <w:r>
              <w:t xml:space="preserve">; and </w:t>
            </w:r>
          </w:p>
          <w:p w14:paraId="4999D48B" w14:textId="05555164" w:rsidR="00D17A4D" w:rsidRDefault="002F6E21" w:rsidP="005F5B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</w:t>
            </w:r>
            <w:r w:rsidR="005F2802">
              <w:t>es</w:t>
            </w:r>
            <w:r>
              <w:t xml:space="preserve"> that at </w:t>
            </w:r>
            <w:r w:rsidRPr="003F76E6">
              <w:t xml:space="preserve">least five years of </w:t>
            </w:r>
            <w:r>
              <w:t xml:space="preserve">the required 20 year service minimum be served </w:t>
            </w:r>
            <w:r w:rsidRPr="003F76E6">
              <w:t>in the Texas State Guard</w:t>
            </w:r>
            <w:r>
              <w:t>.</w:t>
            </w:r>
            <w:r w:rsidR="00373A1B">
              <w:t xml:space="preserve"> </w:t>
            </w:r>
          </w:p>
          <w:p w14:paraId="686E8BC9" w14:textId="37264FA0" w:rsidR="00D17A4D" w:rsidRDefault="002F6E21" w:rsidP="005F5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commander of the Texas </w:t>
            </w:r>
            <w:r w:rsidR="003F76E6">
              <w:t xml:space="preserve">State </w:t>
            </w:r>
            <w:r>
              <w:t>Guard to issue an identification card to an officer or service member placed on retirement status</w:t>
            </w:r>
            <w:r w:rsidR="003F76E6">
              <w:t xml:space="preserve"> and to </w:t>
            </w:r>
            <w:r w:rsidR="003F76E6" w:rsidRPr="003F76E6">
              <w:t>maintain and preserve the individual and unit records of th</w:t>
            </w:r>
            <w:r w:rsidR="003F76E6">
              <w:t>ose</w:t>
            </w:r>
            <w:r w:rsidR="003F76E6" w:rsidRPr="003F76E6">
              <w:t xml:space="preserve"> officers or service members</w:t>
            </w:r>
            <w:r>
              <w:t xml:space="preserve">. </w:t>
            </w:r>
          </w:p>
          <w:p w14:paraId="6B849EE9" w14:textId="77777777" w:rsidR="008423E4" w:rsidRPr="00835628" w:rsidRDefault="008423E4" w:rsidP="005F5BDA">
            <w:pPr>
              <w:rPr>
                <w:b/>
              </w:rPr>
            </w:pPr>
          </w:p>
        </w:tc>
      </w:tr>
      <w:tr w:rsidR="00CF2A94" w14:paraId="613F0821" w14:textId="77777777" w:rsidTr="00345119">
        <w:tc>
          <w:tcPr>
            <w:tcW w:w="9576" w:type="dxa"/>
          </w:tcPr>
          <w:p w14:paraId="49AAD988" w14:textId="77777777" w:rsidR="008423E4" w:rsidRPr="00A8133F" w:rsidRDefault="002F6E21" w:rsidP="005F5B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A682334" w14:textId="77777777" w:rsidR="008423E4" w:rsidRDefault="008423E4" w:rsidP="005F5BDA"/>
          <w:p w14:paraId="5B1F77AD" w14:textId="54FE6009" w:rsidR="008423E4" w:rsidRPr="00233FDB" w:rsidRDefault="002F6E21" w:rsidP="005F5B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4A27C37D" w14:textId="77777777" w:rsidR="008423E4" w:rsidRPr="00BE0E75" w:rsidRDefault="008423E4" w:rsidP="005F5BDA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A3C7" w14:textId="77777777" w:rsidR="00000000" w:rsidRDefault="002F6E21">
      <w:r>
        <w:separator/>
      </w:r>
    </w:p>
  </w:endnote>
  <w:endnote w:type="continuationSeparator" w:id="0">
    <w:p w14:paraId="6A69E87F" w14:textId="77777777" w:rsidR="00000000" w:rsidRDefault="002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56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2A94" w14:paraId="3795B00B" w14:textId="77777777" w:rsidTr="009C1E9A">
      <w:trPr>
        <w:cantSplit/>
      </w:trPr>
      <w:tc>
        <w:tcPr>
          <w:tcW w:w="0" w:type="pct"/>
        </w:tcPr>
        <w:p w14:paraId="4B28F0F1" w14:textId="0155C6DE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B031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6807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F625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114B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2A94" w14:paraId="1BE5D92E" w14:textId="77777777" w:rsidTr="009C1E9A">
      <w:trPr>
        <w:cantSplit/>
      </w:trPr>
      <w:tc>
        <w:tcPr>
          <w:tcW w:w="0" w:type="pct"/>
        </w:tcPr>
        <w:p w14:paraId="048F75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8E4D3C" w14:textId="3AFB8526" w:rsidR="00EC379B" w:rsidRPr="009C1E9A" w:rsidRDefault="002F6E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22238-D</w:t>
          </w:r>
        </w:p>
      </w:tc>
      <w:tc>
        <w:tcPr>
          <w:tcW w:w="2453" w:type="pct"/>
        </w:tcPr>
        <w:p w14:paraId="0435B823" w14:textId="522BB6F6" w:rsidR="00EC379B" w:rsidRDefault="002F6E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7FF0">
            <w:t>23.94.1469</w:t>
          </w:r>
          <w:r>
            <w:fldChar w:fldCharType="end"/>
          </w:r>
        </w:p>
      </w:tc>
    </w:tr>
    <w:tr w:rsidR="00CF2A94" w14:paraId="5FC665BB" w14:textId="77777777" w:rsidTr="009C1E9A">
      <w:trPr>
        <w:cantSplit/>
      </w:trPr>
      <w:tc>
        <w:tcPr>
          <w:tcW w:w="0" w:type="pct"/>
        </w:tcPr>
        <w:p w14:paraId="5BC9719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1834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A21F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9059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2A94" w14:paraId="105786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3995DE" w14:textId="77777777" w:rsidR="00EC379B" w:rsidRDefault="002F6E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3744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DF0D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6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B3E6" w14:textId="77777777" w:rsidR="00000000" w:rsidRDefault="002F6E21">
      <w:r>
        <w:separator/>
      </w:r>
    </w:p>
  </w:footnote>
  <w:footnote w:type="continuationSeparator" w:id="0">
    <w:p w14:paraId="09A8A4EA" w14:textId="77777777" w:rsidR="00000000" w:rsidRDefault="002F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BB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7C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9F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51E"/>
    <w:multiLevelType w:val="hybridMultilevel"/>
    <w:tmpl w:val="95C42006"/>
    <w:lvl w:ilvl="0" w:tplc="1B028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6F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A0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8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A5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E0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0D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E0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A0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7B8"/>
    <w:multiLevelType w:val="hybridMultilevel"/>
    <w:tmpl w:val="2E0848C2"/>
    <w:lvl w:ilvl="0" w:tplc="7B700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88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C4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C9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E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65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A2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07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666384">
    <w:abstractNumId w:val="1"/>
  </w:num>
  <w:num w:numId="2" w16cid:durableId="124926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F0"/>
    <w:rsid w:val="00000A70"/>
    <w:rsid w:val="000032B8"/>
    <w:rsid w:val="00003B06"/>
    <w:rsid w:val="000054B9"/>
    <w:rsid w:val="00007461"/>
    <w:rsid w:val="0001117E"/>
    <w:rsid w:val="0001125F"/>
    <w:rsid w:val="000123E2"/>
    <w:rsid w:val="0001338E"/>
    <w:rsid w:val="00013D24"/>
    <w:rsid w:val="00014AF0"/>
    <w:rsid w:val="000155D6"/>
    <w:rsid w:val="00015D4E"/>
    <w:rsid w:val="00015D9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6F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FF0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AA5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5F0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F2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48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E2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AFA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B37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268"/>
    <w:rsid w:val="00370155"/>
    <w:rsid w:val="003712D5"/>
    <w:rsid w:val="00373A1B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D4F"/>
    <w:rsid w:val="003D726D"/>
    <w:rsid w:val="003E0875"/>
    <w:rsid w:val="003E0BB8"/>
    <w:rsid w:val="003E6CB0"/>
    <w:rsid w:val="003F1F5E"/>
    <w:rsid w:val="003F286A"/>
    <w:rsid w:val="003F76E6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7A6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D87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C2D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802"/>
    <w:rsid w:val="005F4862"/>
    <w:rsid w:val="005F5679"/>
    <w:rsid w:val="005F5BDA"/>
    <w:rsid w:val="005F5FDF"/>
    <w:rsid w:val="005F6960"/>
    <w:rsid w:val="005F7000"/>
    <w:rsid w:val="005F7AAA"/>
    <w:rsid w:val="00600BAA"/>
    <w:rsid w:val="006012DA"/>
    <w:rsid w:val="00602255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B1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67B"/>
    <w:rsid w:val="006D3005"/>
    <w:rsid w:val="006D504F"/>
    <w:rsid w:val="006E0CAC"/>
    <w:rsid w:val="006E0F83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21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F8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78C"/>
    <w:rsid w:val="008930D7"/>
    <w:rsid w:val="008947A7"/>
    <w:rsid w:val="00897E80"/>
    <w:rsid w:val="008A04FA"/>
    <w:rsid w:val="008A0CAB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1E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29D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F51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20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0FA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A9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07D"/>
    <w:rsid w:val="00D11B0B"/>
    <w:rsid w:val="00D12A3E"/>
    <w:rsid w:val="00D17A4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277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C0F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8BA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0EB"/>
    <w:rsid w:val="00F02300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DA1"/>
    <w:rsid w:val="00F96602"/>
    <w:rsid w:val="00F9735A"/>
    <w:rsid w:val="00FA32FC"/>
    <w:rsid w:val="00FA59FD"/>
    <w:rsid w:val="00FA5D8C"/>
    <w:rsid w:val="00FA6403"/>
    <w:rsid w:val="00FB16CD"/>
    <w:rsid w:val="00FB73AE"/>
    <w:rsid w:val="00FC4EA5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B0100E-1F49-4A4D-A0EC-E9842A68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7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7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7A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7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7A4D"/>
    <w:rPr>
      <w:b/>
      <w:bCs/>
    </w:rPr>
  </w:style>
  <w:style w:type="paragraph" w:styleId="Revision">
    <w:name w:val="Revision"/>
    <w:hidden/>
    <w:uiPriority w:val="99"/>
    <w:semiHidden/>
    <w:rsid w:val="001B7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1923</Characters>
  <Application>Microsoft Office Word</Application>
  <DocSecurity>4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HB00836 (Committee Report (Unamended))</vt:lpstr>
    </vt:vector>
  </TitlesOfParts>
  <Company>State of Texas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22238</dc:subject>
  <dc:creator>State of Texas</dc:creator>
  <dc:description>HB 836 by Raymond-(H)Defense &amp; Veterans' Affairs</dc:description>
  <cp:lastModifiedBy>Stacey Nicchio</cp:lastModifiedBy>
  <cp:revision>2</cp:revision>
  <cp:lastPrinted>2003-11-26T17:21:00Z</cp:lastPrinted>
  <dcterms:created xsi:type="dcterms:W3CDTF">2023-04-10T21:59:00Z</dcterms:created>
  <dcterms:modified xsi:type="dcterms:W3CDTF">2023-04-10T21:59:00Z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23.94.1469</vt:lpwstr>
  </property>
</Properties>
</file>