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4177" w14:paraId="1EEF2211" w14:textId="77777777" w:rsidTr="00345119">
        <w:tc>
          <w:tcPr>
            <w:tcW w:w="9576" w:type="dxa"/>
            <w:noWrap/>
          </w:tcPr>
          <w:p w14:paraId="614B4050" w14:textId="77777777" w:rsidR="008423E4" w:rsidRPr="0022177D" w:rsidRDefault="00614C6A" w:rsidP="00F455FA">
            <w:pPr>
              <w:pStyle w:val="Heading1"/>
            </w:pPr>
            <w:r w:rsidRPr="00631897">
              <w:t>BILL ANALYSIS</w:t>
            </w:r>
          </w:p>
        </w:tc>
      </w:tr>
    </w:tbl>
    <w:p w14:paraId="56FABA52" w14:textId="77777777" w:rsidR="008423E4" w:rsidRPr="00736989" w:rsidRDefault="008423E4" w:rsidP="00F455FA">
      <w:pPr>
        <w:jc w:val="center"/>
        <w:rPr>
          <w:sz w:val="22"/>
          <w:szCs w:val="22"/>
        </w:rPr>
      </w:pPr>
    </w:p>
    <w:p w14:paraId="6BCAB4F4" w14:textId="77777777" w:rsidR="008423E4" w:rsidRPr="00736989" w:rsidRDefault="008423E4" w:rsidP="00F455FA">
      <w:pPr>
        <w:rPr>
          <w:sz w:val="22"/>
          <w:szCs w:val="22"/>
        </w:rPr>
      </w:pPr>
    </w:p>
    <w:p w14:paraId="5A8CD453" w14:textId="77777777" w:rsidR="008423E4" w:rsidRPr="00736989" w:rsidRDefault="008423E4" w:rsidP="00F455FA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4177" w14:paraId="710F9DCA" w14:textId="77777777" w:rsidTr="00345119">
        <w:tc>
          <w:tcPr>
            <w:tcW w:w="9576" w:type="dxa"/>
          </w:tcPr>
          <w:p w14:paraId="67BA4C57" w14:textId="3C240037" w:rsidR="008423E4" w:rsidRPr="00861995" w:rsidRDefault="00614C6A" w:rsidP="00F455FA">
            <w:pPr>
              <w:jc w:val="right"/>
            </w:pPr>
            <w:r>
              <w:t>C.S.H.B. 890</w:t>
            </w:r>
          </w:p>
        </w:tc>
      </w:tr>
      <w:tr w:rsidR="00744177" w14:paraId="518A4D2D" w14:textId="77777777" w:rsidTr="00345119">
        <w:tc>
          <w:tcPr>
            <w:tcW w:w="9576" w:type="dxa"/>
          </w:tcPr>
          <w:p w14:paraId="7F2535B5" w14:textId="1AD0BBCF" w:rsidR="008423E4" w:rsidRPr="00861995" w:rsidRDefault="00614C6A" w:rsidP="00F455FA">
            <w:pPr>
              <w:jc w:val="right"/>
            </w:pPr>
            <w:r>
              <w:t xml:space="preserve">By: </w:t>
            </w:r>
            <w:r w:rsidR="00A830FA">
              <w:t>Bell, Keith</w:t>
            </w:r>
          </w:p>
        </w:tc>
      </w:tr>
      <w:tr w:rsidR="00744177" w14:paraId="6C403AF8" w14:textId="77777777" w:rsidTr="00345119">
        <w:tc>
          <w:tcPr>
            <w:tcW w:w="9576" w:type="dxa"/>
          </w:tcPr>
          <w:p w14:paraId="41BF8AE5" w14:textId="4A0A751D" w:rsidR="008423E4" w:rsidRPr="00861995" w:rsidRDefault="00614C6A" w:rsidP="00F455FA">
            <w:pPr>
              <w:jc w:val="right"/>
            </w:pPr>
            <w:r>
              <w:t>Public Education</w:t>
            </w:r>
          </w:p>
        </w:tc>
      </w:tr>
      <w:tr w:rsidR="00744177" w14:paraId="1DDE4095" w14:textId="77777777" w:rsidTr="00345119">
        <w:tc>
          <w:tcPr>
            <w:tcW w:w="9576" w:type="dxa"/>
          </w:tcPr>
          <w:p w14:paraId="77233CBE" w14:textId="44D1B2CB" w:rsidR="008423E4" w:rsidRDefault="00614C6A" w:rsidP="00F455FA">
            <w:pPr>
              <w:jc w:val="right"/>
            </w:pPr>
            <w:r>
              <w:t>Committee Report (Substituted)</w:t>
            </w:r>
          </w:p>
        </w:tc>
      </w:tr>
    </w:tbl>
    <w:p w14:paraId="72605BD5" w14:textId="77777777" w:rsidR="008423E4" w:rsidRPr="00736989" w:rsidRDefault="008423E4" w:rsidP="00F455FA">
      <w:pPr>
        <w:tabs>
          <w:tab w:val="right" w:pos="9360"/>
        </w:tabs>
        <w:rPr>
          <w:sz w:val="20"/>
          <w:szCs w:val="20"/>
        </w:rPr>
      </w:pPr>
    </w:p>
    <w:p w14:paraId="75AFF40F" w14:textId="77777777" w:rsidR="008423E4" w:rsidRPr="00736989" w:rsidRDefault="008423E4" w:rsidP="00F455FA">
      <w:pPr>
        <w:rPr>
          <w:sz w:val="20"/>
          <w:szCs w:val="20"/>
        </w:rPr>
      </w:pPr>
    </w:p>
    <w:p w14:paraId="7A32E30D" w14:textId="77777777" w:rsidR="008423E4" w:rsidRPr="00736989" w:rsidRDefault="008423E4" w:rsidP="00F455FA">
      <w:pPr>
        <w:rPr>
          <w:sz w:val="20"/>
          <w:szCs w:val="20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4177" w14:paraId="46E46AEE" w14:textId="77777777" w:rsidTr="00903194">
        <w:tc>
          <w:tcPr>
            <w:tcW w:w="9360" w:type="dxa"/>
          </w:tcPr>
          <w:p w14:paraId="0D3D5074" w14:textId="77777777" w:rsidR="008423E4" w:rsidRPr="00A8133F" w:rsidRDefault="00614C6A" w:rsidP="00F455F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4426D2" w14:textId="77777777" w:rsidR="008423E4" w:rsidRDefault="008423E4" w:rsidP="00F455FA"/>
          <w:p w14:paraId="198C36D1" w14:textId="5F7496A0" w:rsidR="008423E4" w:rsidRDefault="00614C6A" w:rsidP="00F455FA">
            <w:pPr>
              <w:jc w:val="both"/>
            </w:pPr>
            <w:r>
              <w:t xml:space="preserve">Under current law, </w:t>
            </w:r>
            <w:r w:rsidR="00F24619">
              <w:t xml:space="preserve">the </w:t>
            </w:r>
            <w:r>
              <w:t xml:space="preserve">board </w:t>
            </w:r>
            <w:r w:rsidR="00F24619">
              <w:t xml:space="preserve">of trustees of an independent school district </w:t>
            </w:r>
            <w:r>
              <w:t xml:space="preserve">has an array of duties that the members of the board </w:t>
            </w:r>
            <w:r w:rsidR="004C668C">
              <w:t xml:space="preserve">must </w:t>
            </w:r>
            <w:r>
              <w:t xml:space="preserve">implement. One of those duties </w:t>
            </w:r>
            <w:r w:rsidR="00F24619">
              <w:t>is</w:t>
            </w:r>
            <w:r>
              <w:t xml:space="preserve"> adopt</w:t>
            </w:r>
            <w:r w:rsidR="00F24619">
              <w:t>ing</w:t>
            </w:r>
            <w:r>
              <w:t xml:space="preserve"> a process through which </w:t>
            </w:r>
            <w:r w:rsidR="00F24619">
              <w:t>stakeholders</w:t>
            </w:r>
            <w:r>
              <w:t xml:space="preserve"> may obtain a hearing from district administrators and the board regarding a complaint or grievance. </w:t>
            </w:r>
            <w:r w:rsidR="00F24619">
              <w:t xml:space="preserve">However, the </w:t>
            </w:r>
            <w:r>
              <w:t>law d</w:t>
            </w:r>
            <w:r>
              <w:t xml:space="preserve">oes not codify what that process will entail or how long the grievance resolution process </w:t>
            </w:r>
            <w:r w:rsidR="00F24619">
              <w:t xml:space="preserve">must </w:t>
            </w:r>
            <w:r>
              <w:t>take. This leaves members of the public, district personnel, vendors, parents, and students at the mercy of the school board administration with very little cont</w:t>
            </w:r>
            <w:r>
              <w:t xml:space="preserve">rol </w:t>
            </w:r>
            <w:r w:rsidR="004C668C">
              <w:t xml:space="preserve">and </w:t>
            </w:r>
            <w:r>
              <w:t xml:space="preserve">no timeline in which the matter will be resolved. </w:t>
            </w:r>
            <w:r w:rsidR="00F24619">
              <w:t xml:space="preserve">C.S.H.B. 890 seeks to address this issue by </w:t>
            </w:r>
            <w:r>
              <w:t>requir</w:t>
            </w:r>
            <w:r w:rsidR="00F24619">
              <w:t>ing</w:t>
            </w:r>
            <w:r>
              <w:t xml:space="preserve"> </w:t>
            </w:r>
            <w:r w:rsidR="00F24619">
              <w:t>eac</w:t>
            </w:r>
            <w:r w:rsidR="004C668C">
              <w:t>h</w:t>
            </w:r>
            <w:r w:rsidR="00F24619">
              <w:t xml:space="preserve"> </w:t>
            </w:r>
            <w:r>
              <w:t>board</w:t>
            </w:r>
            <w:r w:rsidR="00F24619">
              <w:t xml:space="preserve"> of trustees</w:t>
            </w:r>
            <w:r>
              <w:t xml:space="preserve"> to </w:t>
            </w:r>
            <w:r w:rsidR="004C668C">
              <w:t>provide for a compla</w:t>
            </w:r>
            <w:r w:rsidR="00147600">
              <w:t>i</w:t>
            </w:r>
            <w:r w:rsidR="004C668C">
              <w:t xml:space="preserve">nt to be filed at any time as well as </w:t>
            </w:r>
            <w:r>
              <w:t>an initial administrative hearing, an opportunity to appeal</w:t>
            </w:r>
            <w:r>
              <w:t xml:space="preserve"> the administrative decision</w:t>
            </w:r>
            <w:r w:rsidR="004C668C">
              <w:t>,</w:t>
            </w:r>
            <w:r>
              <w:t xml:space="preserve"> and a resolution of the complaint </w:t>
            </w:r>
            <w:r w:rsidR="004C668C">
              <w:t>by a deadline</w:t>
            </w:r>
            <w:r>
              <w:t>.</w:t>
            </w:r>
          </w:p>
          <w:p w14:paraId="0A645A2F" w14:textId="4516DF95" w:rsidR="00033C90" w:rsidRPr="00E26B13" w:rsidRDefault="00033C90" w:rsidP="00F455FA">
            <w:pPr>
              <w:jc w:val="both"/>
              <w:rPr>
                <w:b/>
              </w:rPr>
            </w:pPr>
          </w:p>
        </w:tc>
      </w:tr>
      <w:tr w:rsidR="00744177" w14:paraId="5860198E" w14:textId="77777777" w:rsidTr="00903194">
        <w:tc>
          <w:tcPr>
            <w:tcW w:w="9360" w:type="dxa"/>
          </w:tcPr>
          <w:p w14:paraId="43E70C98" w14:textId="77777777" w:rsidR="0017725B" w:rsidRDefault="00614C6A" w:rsidP="00F455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DAFEC9" w14:textId="77777777" w:rsidR="0017725B" w:rsidRPr="00736989" w:rsidRDefault="0017725B" w:rsidP="00F455FA">
            <w:pPr>
              <w:rPr>
                <w:bCs/>
              </w:rPr>
            </w:pPr>
          </w:p>
          <w:p w14:paraId="272E2C66" w14:textId="316A124F" w:rsidR="00F353CB" w:rsidRPr="00F353CB" w:rsidRDefault="00614C6A" w:rsidP="00F455FA">
            <w:pPr>
              <w:jc w:val="both"/>
            </w:pPr>
            <w:r>
              <w:t xml:space="preserve">It is the committee's opinion that this bill does not expressly create a criminal offense, increase the punishment for an existing criminal </w:t>
            </w:r>
            <w:r>
              <w:t>offense or category of offenses, or change the eligibility of a person for community supervision, parole, or mandatory supervision.</w:t>
            </w:r>
          </w:p>
          <w:p w14:paraId="091DD424" w14:textId="77777777" w:rsidR="0017725B" w:rsidRPr="0017725B" w:rsidRDefault="0017725B" w:rsidP="00F455FA">
            <w:pPr>
              <w:rPr>
                <w:b/>
                <w:u w:val="single"/>
              </w:rPr>
            </w:pPr>
          </w:p>
        </w:tc>
      </w:tr>
      <w:tr w:rsidR="00744177" w14:paraId="581EA219" w14:textId="77777777" w:rsidTr="00903194">
        <w:tc>
          <w:tcPr>
            <w:tcW w:w="9360" w:type="dxa"/>
          </w:tcPr>
          <w:p w14:paraId="79C14A6D" w14:textId="77777777" w:rsidR="008423E4" w:rsidRPr="00A8133F" w:rsidRDefault="00614C6A" w:rsidP="00F455F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5142BE" w14:textId="77777777" w:rsidR="008423E4" w:rsidRDefault="008423E4" w:rsidP="00F455FA"/>
          <w:p w14:paraId="342D0DE4" w14:textId="3F7AAE75" w:rsidR="00F353CB" w:rsidRDefault="00614C6A" w:rsidP="00F455F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</w:t>
            </w:r>
            <w:r>
              <w:t>hority to a state officer, department, agency, or institution.</w:t>
            </w:r>
          </w:p>
          <w:p w14:paraId="11E9F9BE" w14:textId="77777777" w:rsidR="008423E4" w:rsidRPr="00E21FDC" w:rsidRDefault="008423E4" w:rsidP="00F455FA">
            <w:pPr>
              <w:rPr>
                <w:b/>
              </w:rPr>
            </w:pPr>
          </w:p>
        </w:tc>
      </w:tr>
      <w:tr w:rsidR="00744177" w14:paraId="78838FC1" w14:textId="77777777" w:rsidTr="00903194">
        <w:tc>
          <w:tcPr>
            <w:tcW w:w="9360" w:type="dxa"/>
          </w:tcPr>
          <w:p w14:paraId="2A3D7C24" w14:textId="77777777" w:rsidR="008423E4" w:rsidRPr="00A8133F" w:rsidRDefault="00614C6A" w:rsidP="00F455F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D02981" w14:textId="77777777" w:rsidR="008423E4" w:rsidRDefault="008423E4" w:rsidP="00F455FA"/>
          <w:p w14:paraId="39804C18" w14:textId="0B6AC413" w:rsidR="00237D83" w:rsidRDefault="00614C6A" w:rsidP="00F455FA">
            <w:pPr>
              <w:pStyle w:val="Header"/>
              <w:jc w:val="both"/>
            </w:pPr>
            <w:r>
              <w:t>C.S.</w:t>
            </w:r>
            <w:r w:rsidR="00F353CB">
              <w:t xml:space="preserve">H.B. 890 amends the Education Code to require an independent school district's process </w:t>
            </w:r>
            <w:r w:rsidR="00F24619">
              <w:t>for a complaint hearing</w:t>
            </w:r>
            <w:r w:rsidR="00F353CB">
              <w:t xml:space="preserve"> by the district's board of trustees and administrators to include the following components:</w:t>
            </w:r>
          </w:p>
          <w:p w14:paraId="16454D45" w14:textId="1827D80D" w:rsidR="00237D83" w:rsidRDefault="00614C6A" w:rsidP="00F455FA">
            <w:pPr>
              <w:pStyle w:val="Header"/>
              <w:numPr>
                <w:ilvl w:val="0"/>
                <w:numId w:val="1"/>
              </w:numPr>
              <w:jc w:val="both"/>
            </w:pPr>
            <w:r w:rsidRPr="00237D83">
              <w:t>allow a complaint to be filed at any time regardless of when the conduct initially giving rise to the complaint occurred if the complaint alleges a violation of la</w:t>
            </w:r>
            <w:r w:rsidRPr="00237D83">
              <w:t>w or board policy that is continuous or ongoing;</w:t>
            </w:r>
          </w:p>
          <w:p w14:paraId="2E84FB86" w14:textId="4FE7F20D" w:rsidR="00F353CB" w:rsidRDefault="00614C6A" w:rsidP="00F455F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unless otherwise provided by law, an initial administrative hearing and a subsequent opportunity to appeal the decision; </w:t>
            </w:r>
          </w:p>
          <w:p w14:paraId="75DCCFA3" w14:textId="2DFB5CAC" w:rsidR="00865C34" w:rsidRDefault="00614C6A" w:rsidP="00F455F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unless otherwise agreed to by the parties, provision for a final decision on the comp</w:t>
            </w:r>
            <w:r>
              <w:t>laint not later than 120 calendar days after the date the complaint was filed; and</w:t>
            </w:r>
          </w:p>
          <w:p w14:paraId="33D4E4B9" w14:textId="067B80B7" w:rsidR="009C36CD" w:rsidRPr="009C36CD" w:rsidRDefault="00614C6A" w:rsidP="00F455F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if a final decision is not rendered before the 120th day after the date on which the complain</w:t>
            </w:r>
            <w:r w:rsidR="003F3F1D">
              <w:t>t</w:t>
            </w:r>
            <w:r>
              <w:t xml:space="preserve"> was filed, require the district to immediately render a final decision on the </w:t>
            </w:r>
            <w:r>
              <w:t>complaint in favor of the complainant</w:t>
            </w:r>
            <w:r w:rsidR="00F353CB">
              <w:t xml:space="preserve">. </w:t>
            </w:r>
          </w:p>
          <w:p w14:paraId="09576327" w14:textId="77777777" w:rsidR="008423E4" w:rsidRPr="00835628" w:rsidRDefault="008423E4" w:rsidP="00F455FA">
            <w:pPr>
              <w:rPr>
                <w:b/>
              </w:rPr>
            </w:pPr>
          </w:p>
        </w:tc>
      </w:tr>
      <w:tr w:rsidR="00744177" w14:paraId="35672097" w14:textId="77777777" w:rsidTr="00903194">
        <w:tc>
          <w:tcPr>
            <w:tcW w:w="9360" w:type="dxa"/>
          </w:tcPr>
          <w:p w14:paraId="6A2ECEFB" w14:textId="77777777" w:rsidR="008423E4" w:rsidRPr="00A8133F" w:rsidRDefault="00614C6A" w:rsidP="00F455F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0C7545E" w14:textId="77777777" w:rsidR="008423E4" w:rsidRDefault="008423E4" w:rsidP="00F455FA"/>
          <w:p w14:paraId="496B77CE" w14:textId="77777777" w:rsidR="008423E4" w:rsidRDefault="00614C6A" w:rsidP="00F455FA">
            <w:r>
              <w:t>September 1, 2023.</w:t>
            </w:r>
          </w:p>
          <w:p w14:paraId="029BFDE0" w14:textId="59D394AF" w:rsidR="00033C90" w:rsidRPr="00233FDB" w:rsidRDefault="00033C90" w:rsidP="00F455FA">
            <w:pPr>
              <w:rPr>
                <w:b/>
              </w:rPr>
            </w:pPr>
          </w:p>
        </w:tc>
      </w:tr>
      <w:tr w:rsidR="00744177" w14:paraId="1B0CACCA" w14:textId="77777777" w:rsidTr="00903194">
        <w:tc>
          <w:tcPr>
            <w:tcW w:w="9360" w:type="dxa"/>
          </w:tcPr>
          <w:p w14:paraId="56ECCB00" w14:textId="78A1CA9C" w:rsidR="00A830FA" w:rsidRDefault="00614C6A" w:rsidP="00F455FA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8FFB985" w14:textId="457D07F2" w:rsidR="00237D83" w:rsidRDefault="00237D83" w:rsidP="00F455FA">
            <w:pPr>
              <w:jc w:val="both"/>
              <w:rPr>
                <w:b/>
                <w:u w:val="single"/>
              </w:rPr>
            </w:pPr>
          </w:p>
          <w:p w14:paraId="5C516989" w14:textId="77777777" w:rsidR="00865C34" w:rsidRDefault="00614C6A" w:rsidP="00F455FA">
            <w:pPr>
              <w:jc w:val="both"/>
            </w:pPr>
            <w:r>
              <w:t xml:space="preserve">While C.S.H.B. 890 may differ from the introduced in minor or nonsubstantive ways, the following summarizes the substantial </w:t>
            </w:r>
            <w:r>
              <w:t>differences between the introduced and committee substitute versions of the bill.</w:t>
            </w:r>
          </w:p>
          <w:p w14:paraId="3A4A8A95" w14:textId="77777777" w:rsidR="00865C34" w:rsidRDefault="00865C34" w:rsidP="00F455FA">
            <w:pPr>
              <w:jc w:val="both"/>
            </w:pPr>
          </w:p>
          <w:p w14:paraId="19960D9D" w14:textId="01518A0F" w:rsidR="008B2DFF" w:rsidRDefault="00614C6A" w:rsidP="00F455FA">
            <w:pPr>
              <w:jc w:val="both"/>
            </w:pPr>
            <w:r w:rsidRPr="00480391">
              <w:t xml:space="preserve">The substitute includes </w:t>
            </w:r>
            <w:r>
              <w:t xml:space="preserve">the following as required components of the complaint hearing process, which did not appear in the introduced: </w:t>
            </w:r>
          </w:p>
          <w:p w14:paraId="55F55E06" w14:textId="57DF2BE0" w:rsidR="008B2DFF" w:rsidRDefault="00614C6A" w:rsidP="00F455F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480391">
              <w:t>allow</w:t>
            </w:r>
            <w:r>
              <w:t>ing</w:t>
            </w:r>
            <w:r w:rsidRPr="00480391">
              <w:t xml:space="preserve"> a complaint to be filed at </w:t>
            </w:r>
            <w:r w:rsidRPr="00480391">
              <w:t>any time regardless of when the conduct initially giving rise to the complaint occurred if the complaint alleges a violation of law or board policy that is continuous or ongoing</w:t>
            </w:r>
            <w:r>
              <w:t xml:space="preserve">; and </w:t>
            </w:r>
          </w:p>
          <w:p w14:paraId="68A6A694" w14:textId="654ECBCB" w:rsidR="00865C34" w:rsidRPr="008B2DFF" w:rsidRDefault="00614C6A" w:rsidP="00F455FA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  <w:rPr>
                <w:b/>
                <w:u w:val="single"/>
              </w:rPr>
            </w:pPr>
            <w:r>
              <w:t>requiring the district to immediately render a final decision in favor o</w:t>
            </w:r>
            <w:r>
              <w:t>f the complainant if a final decision is not rendered before the 120th day after the date on which the complaint was filed.</w:t>
            </w:r>
          </w:p>
          <w:p w14:paraId="2319422E" w14:textId="73C072C4" w:rsidR="00865C34" w:rsidRPr="00A830FA" w:rsidRDefault="00865C34" w:rsidP="00F455FA">
            <w:pPr>
              <w:jc w:val="both"/>
              <w:rPr>
                <w:b/>
                <w:u w:val="single"/>
              </w:rPr>
            </w:pPr>
          </w:p>
        </w:tc>
      </w:tr>
    </w:tbl>
    <w:p w14:paraId="505A0CC2" w14:textId="77777777" w:rsidR="008423E4" w:rsidRPr="00BE0E75" w:rsidRDefault="008423E4" w:rsidP="00F455FA">
      <w:pPr>
        <w:jc w:val="both"/>
        <w:rPr>
          <w:rFonts w:ascii="Arial" w:hAnsi="Arial"/>
          <w:sz w:val="16"/>
          <w:szCs w:val="16"/>
        </w:rPr>
      </w:pPr>
    </w:p>
    <w:p w14:paraId="29A85F65" w14:textId="77777777" w:rsidR="004108C3" w:rsidRPr="008423E4" w:rsidRDefault="004108C3" w:rsidP="00F455F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7622" w14:textId="77777777" w:rsidR="00000000" w:rsidRDefault="00614C6A">
      <w:r>
        <w:separator/>
      </w:r>
    </w:p>
  </w:endnote>
  <w:endnote w:type="continuationSeparator" w:id="0">
    <w:p w14:paraId="485423E9" w14:textId="77777777" w:rsidR="00000000" w:rsidRDefault="0061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FD57" w14:textId="6786FE0E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4177" w14:paraId="1743F43B" w14:textId="77777777" w:rsidTr="009C1E9A">
      <w:trPr>
        <w:cantSplit/>
      </w:trPr>
      <w:tc>
        <w:tcPr>
          <w:tcW w:w="0" w:type="pct"/>
        </w:tcPr>
        <w:p w14:paraId="024CB23B" w14:textId="649FF500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5E23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8CEDF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9345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6EC6D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4177" w14:paraId="6E83DDF2" w14:textId="77777777" w:rsidTr="009C1E9A">
      <w:trPr>
        <w:cantSplit/>
      </w:trPr>
      <w:tc>
        <w:tcPr>
          <w:tcW w:w="0" w:type="pct"/>
        </w:tcPr>
        <w:p w14:paraId="24FD2E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FA9273" w14:textId="04781AFE" w:rsidR="00EC379B" w:rsidRPr="009C1E9A" w:rsidRDefault="00614C6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20567-D</w:t>
          </w:r>
        </w:p>
      </w:tc>
      <w:tc>
        <w:tcPr>
          <w:tcW w:w="2453" w:type="pct"/>
        </w:tcPr>
        <w:p w14:paraId="6AD0FCEC" w14:textId="52BD6E6A" w:rsidR="00EC379B" w:rsidRDefault="00614C6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43FFF">
            <w:t>23.86.2130</w:t>
          </w:r>
          <w:r>
            <w:fldChar w:fldCharType="end"/>
          </w:r>
        </w:p>
      </w:tc>
    </w:tr>
    <w:tr w:rsidR="00744177" w14:paraId="486B1ECF" w14:textId="77777777" w:rsidTr="009C1E9A">
      <w:trPr>
        <w:cantSplit/>
      </w:trPr>
      <w:tc>
        <w:tcPr>
          <w:tcW w:w="0" w:type="pct"/>
        </w:tcPr>
        <w:p w14:paraId="53E682A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D2E1BC0" w14:textId="3F888F45" w:rsidR="00EC379B" w:rsidRPr="009C1E9A" w:rsidRDefault="00614C6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19514</w:t>
          </w:r>
        </w:p>
      </w:tc>
      <w:tc>
        <w:tcPr>
          <w:tcW w:w="2453" w:type="pct"/>
        </w:tcPr>
        <w:p w14:paraId="7CEB76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031FA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4177" w14:paraId="1E7AEBE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089C231" w14:textId="77777777" w:rsidR="00EC379B" w:rsidRDefault="00614C6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EBA7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CB7FD1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2C0A" w14:textId="2C8A3E93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1EE2" w14:textId="77777777" w:rsidR="00000000" w:rsidRDefault="00614C6A">
      <w:r>
        <w:separator/>
      </w:r>
    </w:p>
  </w:footnote>
  <w:footnote w:type="continuationSeparator" w:id="0">
    <w:p w14:paraId="7DF4E21D" w14:textId="77777777" w:rsidR="00000000" w:rsidRDefault="0061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2FDB" w14:textId="175B07EB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8248" w14:textId="52D8F3B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C8E4" w14:textId="0124E0A8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77F"/>
    <w:multiLevelType w:val="hybridMultilevel"/>
    <w:tmpl w:val="8B3E5B84"/>
    <w:lvl w:ilvl="0" w:tplc="9E140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2B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82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07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AE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48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9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AA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E0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199E"/>
    <w:multiLevelType w:val="hybridMultilevel"/>
    <w:tmpl w:val="EC9CBB56"/>
    <w:lvl w:ilvl="0" w:tplc="35D6B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6C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08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44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C5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8A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A8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05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016A"/>
    <w:multiLevelType w:val="hybridMultilevel"/>
    <w:tmpl w:val="036801D4"/>
    <w:lvl w:ilvl="0" w:tplc="CE3677D8">
      <w:numFmt w:val="bullet"/>
      <w:lvlText w:val="·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1" w:tplc="1C5AF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E6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40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B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43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A8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E8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26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C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C90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E82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02C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4760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77E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D8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9AE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6FF3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5B0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73D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5AEE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3F1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0391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6597"/>
    <w:rsid w:val="004C668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AB8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B5D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084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C33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12ED"/>
    <w:rsid w:val="00603B0F"/>
    <w:rsid w:val="006049F5"/>
    <w:rsid w:val="00605F7B"/>
    <w:rsid w:val="00607E64"/>
    <w:rsid w:val="006106E9"/>
    <w:rsid w:val="0061159E"/>
    <w:rsid w:val="00614633"/>
    <w:rsid w:val="00614BC8"/>
    <w:rsid w:val="00614C6A"/>
    <w:rsid w:val="006151FB"/>
    <w:rsid w:val="00617411"/>
    <w:rsid w:val="006249CB"/>
    <w:rsid w:val="006272DD"/>
    <w:rsid w:val="006301AE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8B5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989"/>
    <w:rsid w:val="00736FB0"/>
    <w:rsid w:val="007404BC"/>
    <w:rsid w:val="00740D13"/>
    <w:rsid w:val="00740F5F"/>
    <w:rsid w:val="00742794"/>
    <w:rsid w:val="00743C4C"/>
    <w:rsid w:val="00744177"/>
    <w:rsid w:val="007445B7"/>
    <w:rsid w:val="00744920"/>
    <w:rsid w:val="007509BE"/>
    <w:rsid w:val="0075287B"/>
    <w:rsid w:val="00755C7B"/>
    <w:rsid w:val="00764786"/>
    <w:rsid w:val="00764D84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E89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657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5C34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127D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2DFF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B85"/>
    <w:rsid w:val="008F3053"/>
    <w:rsid w:val="008F3136"/>
    <w:rsid w:val="008F40DF"/>
    <w:rsid w:val="008F5E16"/>
    <w:rsid w:val="008F5EFC"/>
    <w:rsid w:val="00901670"/>
    <w:rsid w:val="00902212"/>
    <w:rsid w:val="00903194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5D16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165C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53B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1F0C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0FA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4E2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3276"/>
    <w:rsid w:val="00B64BC5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8B0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3A3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135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0BB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341"/>
    <w:rsid w:val="00D11B0B"/>
    <w:rsid w:val="00D11C08"/>
    <w:rsid w:val="00D12A3E"/>
    <w:rsid w:val="00D22160"/>
    <w:rsid w:val="00D22172"/>
    <w:rsid w:val="00D2301B"/>
    <w:rsid w:val="00D239EE"/>
    <w:rsid w:val="00D27CEC"/>
    <w:rsid w:val="00D30534"/>
    <w:rsid w:val="00D35728"/>
    <w:rsid w:val="00D359A7"/>
    <w:rsid w:val="00D37BCF"/>
    <w:rsid w:val="00D40F93"/>
    <w:rsid w:val="00D42277"/>
    <w:rsid w:val="00D43C59"/>
    <w:rsid w:val="00D44ADE"/>
    <w:rsid w:val="00D47806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29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C8C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29A"/>
    <w:rsid w:val="00F176E4"/>
    <w:rsid w:val="00F20E5F"/>
    <w:rsid w:val="00F24619"/>
    <w:rsid w:val="00F25C26"/>
    <w:rsid w:val="00F25CC2"/>
    <w:rsid w:val="00F27573"/>
    <w:rsid w:val="00F307B6"/>
    <w:rsid w:val="00F30EB8"/>
    <w:rsid w:val="00F31876"/>
    <w:rsid w:val="00F31C67"/>
    <w:rsid w:val="00F33C2A"/>
    <w:rsid w:val="00F353CB"/>
    <w:rsid w:val="00F36FE0"/>
    <w:rsid w:val="00F37EA8"/>
    <w:rsid w:val="00F40B14"/>
    <w:rsid w:val="00F41186"/>
    <w:rsid w:val="00F41EEF"/>
    <w:rsid w:val="00F41FAC"/>
    <w:rsid w:val="00F420C6"/>
    <w:rsid w:val="00F423D3"/>
    <w:rsid w:val="00F43FFF"/>
    <w:rsid w:val="00F44349"/>
    <w:rsid w:val="00F455FA"/>
    <w:rsid w:val="00F4569E"/>
    <w:rsid w:val="00F45AFC"/>
    <w:rsid w:val="00F462F4"/>
    <w:rsid w:val="00F50130"/>
    <w:rsid w:val="00F512D9"/>
    <w:rsid w:val="00F52402"/>
    <w:rsid w:val="00F5605D"/>
    <w:rsid w:val="00F63053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583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BE5D13-B073-47CE-8C4C-84DAD36B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53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53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53CB"/>
    <w:rPr>
      <w:b/>
      <w:bCs/>
    </w:rPr>
  </w:style>
  <w:style w:type="paragraph" w:styleId="Revision">
    <w:name w:val="Revision"/>
    <w:hidden/>
    <w:uiPriority w:val="99"/>
    <w:semiHidden/>
    <w:rsid w:val="003077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2761</Characters>
  <Application>Microsoft Office Word</Application>
  <DocSecurity>4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HB00890 (Committee Report (Substituted))</vt:lpstr>
    </vt:vector>
  </TitlesOfParts>
  <Company>State of Texas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20567</dc:subject>
  <dc:creator>State of Texas</dc:creator>
  <dc:description>HB 890 by Bell, Keith-(H)Public Education (Substitute Document Number: 88R 19514)</dc:description>
  <cp:lastModifiedBy>Alan Gonzalez Otero</cp:lastModifiedBy>
  <cp:revision>2</cp:revision>
  <cp:lastPrinted>2003-11-26T17:21:00Z</cp:lastPrinted>
  <dcterms:created xsi:type="dcterms:W3CDTF">2023-03-29T20:48:00Z</dcterms:created>
  <dcterms:modified xsi:type="dcterms:W3CDTF">2023-03-29T20:48:00Z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23.86.2130</vt:lpwstr>
  </property>
</Properties>
</file>