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C3AC0" w14:paraId="118186CB" w14:textId="77777777" w:rsidTr="00345119">
        <w:tc>
          <w:tcPr>
            <w:tcW w:w="9576" w:type="dxa"/>
            <w:noWrap/>
          </w:tcPr>
          <w:p w14:paraId="6428EFB9" w14:textId="77777777" w:rsidR="008423E4" w:rsidRPr="0022177D" w:rsidRDefault="0060756A" w:rsidP="00443FBE">
            <w:pPr>
              <w:pStyle w:val="Heading1"/>
            </w:pPr>
            <w:r w:rsidRPr="00631897">
              <w:t>BILL ANALYSIS</w:t>
            </w:r>
          </w:p>
        </w:tc>
      </w:tr>
    </w:tbl>
    <w:p w14:paraId="311CD384" w14:textId="77777777" w:rsidR="008423E4" w:rsidRPr="0022177D" w:rsidRDefault="008423E4" w:rsidP="00443FBE">
      <w:pPr>
        <w:jc w:val="center"/>
      </w:pPr>
    </w:p>
    <w:p w14:paraId="39EB4A84" w14:textId="77777777" w:rsidR="008423E4" w:rsidRPr="00B31F0E" w:rsidRDefault="008423E4" w:rsidP="00443FBE"/>
    <w:p w14:paraId="12968272" w14:textId="77777777" w:rsidR="008423E4" w:rsidRPr="00742794" w:rsidRDefault="008423E4" w:rsidP="00443FBE">
      <w:pPr>
        <w:tabs>
          <w:tab w:val="right" w:pos="9360"/>
        </w:tabs>
      </w:pPr>
    </w:p>
    <w:tbl>
      <w:tblPr>
        <w:tblW w:w="0" w:type="auto"/>
        <w:tblLayout w:type="fixed"/>
        <w:tblLook w:val="01E0" w:firstRow="1" w:lastRow="1" w:firstColumn="1" w:lastColumn="1" w:noHBand="0" w:noVBand="0"/>
      </w:tblPr>
      <w:tblGrid>
        <w:gridCol w:w="9576"/>
      </w:tblGrid>
      <w:tr w:rsidR="00EC3AC0" w14:paraId="17D0743B" w14:textId="77777777" w:rsidTr="00345119">
        <w:tc>
          <w:tcPr>
            <w:tcW w:w="9576" w:type="dxa"/>
          </w:tcPr>
          <w:p w14:paraId="331716BF" w14:textId="0CEB4270" w:rsidR="008423E4" w:rsidRPr="00861995" w:rsidRDefault="0060756A" w:rsidP="00443FBE">
            <w:pPr>
              <w:jc w:val="right"/>
            </w:pPr>
            <w:r>
              <w:t>C.S.H.B. 1158</w:t>
            </w:r>
          </w:p>
        </w:tc>
      </w:tr>
      <w:tr w:rsidR="00EC3AC0" w14:paraId="4BCD6FC9" w14:textId="77777777" w:rsidTr="00345119">
        <w:tc>
          <w:tcPr>
            <w:tcW w:w="9576" w:type="dxa"/>
          </w:tcPr>
          <w:p w14:paraId="3307C2EB" w14:textId="1B4A033C" w:rsidR="008423E4" w:rsidRPr="00861995" w:rsidRDefault="0060756A" w:rsidP="00443FBE">
            <w:pPr>
              <w:jc w:val="right"/>
            </w:pPr>
            <w:r>
              <w:t xml:space="preserve">By: </w:t>
            </w:r>
            <w:r w:rsidR="001266CD">
              <w:t>Darby</w:t>
            </w:r>
          </w:p>
        </w:tc>
      </w:tr>
      <w:tr w:rsidR="00EC3AC0" w14:paraId="5C9C544A" w14:textId="77777777" w:rsidTr="00345119">
        <w:tc>
          <w:tcPr>
            <w:tcW w:w="9576" w:type="dxa"/>
          </w:tcPr>
          <w:p w14:paraId="234657A0" w14:textId="6B17B3FE" w:rsidR="008423E4" w:rsidRPr="00861995" w:rsidRDefault="0060756A" w:rsidP="00443FBE">
            <w:pPr>
              <w:jc w:val="right"/>
            </w:pPr>
            <w:r>
              <w:t>Energy Resources</w:t>
            </w:r>
          </w:p>
        </w:tc>
      </w:tr>
      <w:tr w:rsidR="00EC3AC0" w14:paraId="4DF1C6BB" w14:textId="77777777" w:rsidTr="00345119">
        <w:tc>
          <w:tcPr>
            <w:tcW w:w="9576" w:type="dxa"/>
          </w:tcPr>
          <w:p w14:paraId="745A7970" w14:textId="22059A0A" w:rsidR="008423E4" w:rsidRDefault="0060756A" w:rsidP="00443FBE">
            <w:pPr>
              <w:jc w:val="right"/>
            </w:pPr>
            <w:r>
              <w:t>Committee Report (Substituted)</w:t>
            </w:r>
          </w:p>
        </w:tc>
      </w:tr>
    </w:tbl>
    <w:p w14:paraId="4F61D650" w14:textId="77777777" w:rsidR="008423E4" w:rsidRDefault="008423E4" w:rsidP="00443FBE">
      <w:pPr>
        <w:tabs>
          <w:tab w:val="right" w:pos="9360"/>
        </w:tabs>
      </w:pPr>
    </w:p>
    <w:p w14:paraId="7767A7DB" w14:textId="77777777" w:rsidR="008423E4" w:rsidRDefault="008423E4" w:rsidP="00443FBE"/>
    <w:p w14:paraId="5E9F72DE" w14:textId="77777777" w:rsidR="008423E4" w:rsidRDefault="008423E4" w:rsidP="00443FBE"/>
    <w:tbl>
      <w:tblPr>
        <w:tblW w:w="0" w:type="auto"/>
        <w:tblCellMar>
          <w:left w:w="115" w:type="dxa"/>
          <w:right w:w="115" w:type="dxa"/>
        </w:tblCellMar>
        <w:tblLook w:val="01E0" w:firstRow="1" w:lastRow="1" w:firstColumn="1" w:lastColumn="1" w:noHBand="0" w:noVBand="0"/>
      </w:tblPr>
      <w:tblGrid>
        <w:gridCol w:w="9360"/>
      </w:tblGrid>
      <w:tr w:rsidR="00EC3AC0" w14:paraId="18120141" w14:textId="77777777" w:rsidTr="00345119">
        <w:tc>
          <w:tcPr>
            <w:tcW w:w="9576" w:type="dxa"/>
          </w:tcPr>
          <w:p w14:paraId="2606A7A9" w14:textId="77777777" w:rsidR="008423E4" w:rsidRPr="00A8133F" w:rsidRDefault="0060756A" w:rsidP="00443FBE">
            <w:pPr>
              <w:rPr>
                <w:b/>
              </w:rPr>
            </w:pPr>
            <w:r w:rsidRPr="009C1E9A">
              <w:rPr>
                <w:b/>
                <w:u w:val="single"/>
              </w:rPr>
              <w:t>BACKGROUND AND PURPOSE</w:t>
            </w:r>
            <w:r>
              <w:rPr>
                <w:b/>
              </w:rPr>
              <w:t xml:space="preserve"> </w:t>
            </w:r>
          </w:p>
          <w:p w14:paraId="685ABF48" w14:textId="77777777" w:rsidR="008423E4" w:rsidRDefault="008423E4" w:rsidP="00443FBE"/>
          <w:p w14:paraId="7C691288" w14:textId="31AABDC8" w:rsidR="008423E4" w:rsidRDefault="0060756A" w:rsidP="00443FBE">
            <w:pPr>
              <w:pStyle w:val="Header"/>
              <w:tabs>
                <w:tab w:val="clear" w:pos="4320"/>
                <w:tab w:val="clear" w:pos="8640"/>
              </w:tabs>
              <w:jc w:val="both"/>
            </w:pPr>
            <w:r>
              <w:t xml:space="preserve">Carbon capture, utilization, and storage technology is an emerging technology that reduces carbon emissions by capturing carbon </w:t>
            </w:r>
            <w:r>
              <w:t>dioxide and storing it permanently underground. Additionally, direct air capture technology is a new technology designed to</w:t>
            </w:r>
            <w:r w:rsidR="002016ED">
              <w:t xml:space="preserve"> directly</w:t>
            </w:r>
            <w:r>
              <w:t xml:space="preserve"> remove atmospheric carbon dioxide. Currently, facilities capturing and injecting carbon dioxide operate in five main indust</w:t>
            </w:r>
            <w:r>
              <w:t>ry sectors: chemical production, hydrogen production, natural gas processing, fertilizer production, and power generation. Making projects that implement these technologies eligible for funding under the Texas emissions reduction plan</w:t>
            </w:r>
            <w:r w:rsidR="002016ED">
              <w:t xml:space="preserve"> </w:t>
            </w:r>
            <w:r>
              <w:t>would benefit the sta</w:t>
            </w:r>
            <w:r>
              <w:t xml:space="preserve">te both economically and environmentally. </w:t>
            </w:r>
            <w:r w:rsidR="001A7614">
              <w:t>C.S.</w:t>
            </w:r>
            <w:r>
              <w:t>H</w:t>
            </w:r>
            <w:r w:rsidR="001A7614">
              <w:t>.</w:t>
            </w:r>
            <w:r>
              <w:t>B</w:t>
            </w:r>
            <w:r w:rsidR="001A7614">
              <w:t>.</w:t>
            </w:r>
            <w:r>
              <w:t xml:space="preserve"> 1158 seeks to</w:t>
            </w:r>
            <w:r w:rsidR="001A7614">
              <w:t xml:space="preserve"> address this issue by revising the qualifications for an advanced clean energy project and </w:t>
            </w:r>
            <w:r w:rsidR="001A7614" w:rsidRPr="001A7614">
              <w:t>expand</w:t>
            </w:r>
            <w:r w:rsidR="001A7614">
              <w:t>ing</w:t>
            </w:r>
            <w:r w:rsidR="001A7614" w:rsidRPr="001A7614">
              <w:t xml:space="preserve"> the</w:t>
            </w:r>
            <w:r w:rsidR="002016ED">
              <w:t xml:space="preserve"> projects</w:t>
            </w:r>
            <w:r w:rsidR="001A7614" w:rsidRPr="001A7614">
              <w:t xml:space="preserve"> eligib</w:t>
            </w:r>
            <w:r w:rsidR="002016ED">
              <w:t>le</w:t>
            </w:r>
            <w:r w:rsidR="001A7614" w:rsidRPr="001A7614">
              <w:t xml:space="preserve"> for consideration for a grant under the new technology implementation grant program</w:t>
            </w:r>
            <w:r w:rsidR="001A7614">
              <w:t xml:space="preserve"> under the plan.</w:t>
            </w:r>
            <w:r>
              <w:t xml:space="preserve"> </w:t>
            </w:r>
          </w:p>
          <w:p w14:paraId="65F8E264" w14:textId="77777777" w:rsidR="008423E4" w:rsidRPr="00E26B13" w:rsidRDefault="008423E4" w:rsidP="00443FBE">
            <w:pPr>
              <w:rPr>
                <w:b/>
              </w:rPr>
            </w:pPr>
          </w:p>
        </w:tc>
      </w:tr>
      <w:tr w:rsidR="00EC3AC0" w14:paraId="75A4777B" w14:textId="77777777" w:rsidTr="00345119">
        <w:tc>
          <w:tcPr>
            <w:tcW w:w="9576" w:type="dxa"/>
          </w:tcPr>
          <w:p w14:paraId="05C6D5CF" w14:textId="77777777" w:rsidR="0017725B" w:rsidRDefault="0060756A" w:rsidP="00443FBE">
            <w:pPr>
              <w:rPr>
                <w:b/>
                <w:u w:val="single"/>
              </w:rPr>
            </w:pPr>
            <w:r>
              <w:rPr>
                <w:b/>
                <w:u w:val="single"/>
              </w:rPr>
              <w:t>CRIMINAL JUSTICE IMPACT</w:t>
            </w:r>
          </w:p>
          <w:p w14:paraId="38052CB5" w14:textId="77777777" w:rsidR="0017725B" w:rsidRDefault="0017725B" w:rsidP="00443FBE">
            <w:pPr>
              <w:rPr>
                <w:b/>
                <w:u w:val="single"/>
              </w:rPr>
            </w:pPr>
          </w:p>
          <w:p w14:paraId="05FECA7F" w14:textId="1AAB16CC" w:rsidR="00924D2E" w:rsidRPr="00924D2E" w:rsidRDefault="0060756A" w:rsidP="00443FBE">
            <w:pPr>
              <w:jc w:val="both"/>
            </w:pPr>
            <w:r>
              <w:t>It is the committee's opinion that this bill does not expressly create a criminal offense, increase the punishment for an existing criminal offense or category of offenses, or change the eligibili</w:t>
            </w:r>
            <w:r>
              <w:t>ty of a person for community supervision, parole, or mandatory supervision.</w:t>
            </w:r>
          </w:p>
          <w:p w14:paraId="08BA7EF0" w14:textId="77777777" w:rsidR="0017725B" w:rsidRPr="0017725B" w:rsidRDefault="0017725B" w:rsidP="00443FBE">
            <w:pPr>
              <w:rPr>
                <w:b/>
                <w:u w:val="single"/>
              </w:rPr>
            </w:pPr>
          </w:p>
        </w:tc>
      </w:tr>
      <w:tr w:rsidR="00EC3AC0" w14:paraId="06873315" w14:textId="77777777" w:rsidTr="00345119">
        <w:tc>
          <w:tcPr>
            <w:tcW w:w="9576" w:type="dxa"/>
          </w:tcPr>
          <w:p w14:paraId="41888FA9" w14:textId="77777777" w:rsidR="008423E4" w:rsidRPr="00A8133F" w:rsidRDefault="0060756A" w:rsidP="00443FBE">
            <w:pPr>
              <w:rPr>
                <w:b/>
              </w:rPr>
            </w:pPr>
            <w:r w:rsidRPr="009C1E9A">
              <w:rPr>
                <w:b/>
                <w:u w:val="single"/>
              </w:rPr>
              <w:t>RULEMAKING AUTHORITY</w:t>
            </w:r>
            <w:r>
              <w:rPr>
                <w:b/>
              </w:rPr>
              <w:t xml:space="preserve"> </w:t>
            </w:r>
          </w:p>
          <w:p w14:paraId="2EFC287A" w14:textId="77777777" w:rsidR="008423E4" w:rsidRDefault="008423E4" w:rsidP="00443FBE"/>
          <w:p w14:paraId="445141FE" w14:textId="7C5D88C2" w:rsidR="00924D2E" w:rsidRDefault="0060756A" w:rsidP="00443FBE">
            <w:pPr>
              <w:pStyle w:val="Header"/>
              <w:tabs>
                <w:tab w:val="clear" w:pos="4320"/>
                <w:tab w:val="clear" w:pos="8640"/>
              </w:tabs>
              <w:jc w:val="both"/>
            </w:pPr>
            <w:r>
              <w:t xml:space="preserve">It is the committee's opinion that this bill does not expressly grant any additional rulemaking authority to a state officer, department, agency, or </w:t>
            </w:r>
            <w:r>
              <w:t>institution.</w:t>
            </w:r>
          </w:p>
          <w:p w14:paraId="789BA7F4" w14:textId="77777777" w:rsidR="008423E4" w:rsidRPr="00E21FDC" w:rsidRDefault="008423E4" w:rsidP="00443FBE">
            <w:pPr>
              <w:rPr>
                <w:b/>
              </w:rPr>
            </w:pPr>
          </w:p>
        </w:tc>
      </w:tr>
      <w:tr w:rsidR="00EC3AC0" w14:paraId="33D616A9" w14:textId="77777777" w:rsidTr="00345119">
        <w:tc>
          <w:tcPr>
            <w:tcW w:w="9576" w:type="dxa"/>
          </w:tcPr>
          <w:p w14:paraId="0BBF4E6D" w14:textId="77777777" w:rsidR="008423E4" w:rsidRPr="00A8133F" w:rsidRDefault="0060756A" w:rsidP="00443FBE">
            <w:pPr>
              <w:rPr>
                <w:b/>
              </w:rPr>
            </w:pPr>
            <w:r w:rsidRPr="009C1E9A">
              <w:rPr>
                <w:b/>
                <w:u w:val="single"/>
              </w:rPr>
              <w:t>ANALYSIS</w:t>
            </w:r>
            <w:r>
              <w:rPr>
                <w:b/>
              </w:rPr>
              <w:t xml:space="preserve"> </w:t>
            </w:r>
          </w:p>
          <w:p w14:paraId="45305C00" w14:textId="77777777" w:rsidR="008423E4" w:rsidRDefault="008423E4" w:rsidP="00443FBE"/>
          <w:p w14:paraId="031562A9" w14:textId="101F6D32" w:rsidR="00094DAE" w:rsidRDefault="0060756A" w:rsidP="00443FBE">
            <w:pPr>
              <w:pStyle w:val="Header"/>
              <w:tabs>
                <w:tab w:val="clear" w:pos="4320"/>
                <w:tab w:val="clear" w:pos="8640"/>
              </w:tabs>
              <w:jc w:val="both"/>
            </w:pPr>
            <w:r>
              <w:t xml:space="preserve">C.S.H.B. 1158 amends the </w:t>
            </w:r>
            <w:r w:rsidRPr="00094DAE">
              <w:t>Health and Safety Code</w:t>
            </w:r>
            <w:r>
              <w:t xml:space="preserve"> to remove </w:t>
            </w:r>
            <w:r w:rsidR="00711256">
              <w:t xml:space="preserve">as a qualification </w:t>
            </w:r>
            <w:r>
              <w:t>for an a</w:t>
            </w:r>
            <w:r w:rsidRPr="00094DAE">
              <w:t>dvanced clean energy project</w:t>
            </w:r>
            <w:r w:rsidR="00711256">
              <w:t xml:space="preserve"> the receipt by the</w:t>
            </w:r>
            <w:r w:rsidR="00711256" w:rsidRPr="00711256">
              <w:t xml:space="preserve"> Texas Commission on Environmental Quality</w:t>
            </w:r>
            <w:r w:rsidR="0069758F">
              <w:t xml:space="preserve"> (TCEQ)</w:t>
            </w:r>
            <w:r w:rsidR="00711256">
              <w:t xml:space="preserve"> </w:t>
            </w:r>
            <w:r w:rsidR="00711256" w:rsidRPr="00711256">
              <w:t>on or after January 1, 2008, and before January 1, 2020</w:t>
            </w:r>
            <w:r w:rsidR="00711256">
              <w:t>, of</w:t>
            </w:r>
            <w:r>
              <w:t xml:space="preserve"> </w:t>
            </w:r>
            <w:r w:rsidRPr="00094DAE">
              <w:t xml:space="preserve">an application for a permit or for an authorization to use a standard permit under </w:t>
            </w:r>
            <w:r w:rsidR="00CE2882">
              <w:t xml:space="preserve">the </w:t>
            </w:r>
            <w:r w:rsidR="00CE2882" w:rsidRPr="00CE2882">
              <w:t>Texas Clean Air Act</w:t>
            </w:r>
            <w:r w:rsidR="00CE2882">
              <w:t>.</w:t>
            </w:r>
            <w:r w:rsidR="00711256">
              <w:t xml:space="preserve"> </w:t>
            </w:r>
            <w:r w:rsidR="0046085F">
              <w:t xml:space="preserve">The bill, </w:t>
            </w:r>
            <w:r w:rsidR="0046085F" w:rsidRPr="0046085F">
              <w:t xml:space="preserve">with regard to the portion of the emissions stream from </w:t>
            </w:r>
            <w:r w:rsidR="00514A9E">
              <w:t>a</w:t>
            </w:r>
            <w:r w:rsidR="0046085F" w:rsidRPr="0046085F">
              <w:t xml:space="preserve"> facility that is associated with a</w:t>
            </w:r>
            <w:r w:rsidR="0046085F">
              <w:t>n advanced clean energy</w:t>
            </w:r>
            <w:r w:rsidR="0046085F" w:rsidRPr="0046085F">
              <w:t xml:space="preserve"> project that is designed for the use of one or more combustion turbines that burn natural gas, allows for the project to</w:t>
            </w:r>
            <w:r w:rsidR="0046085F">
              <w:t xml:space="preserve"> be capable of achieving </w:t>
            </w:r>
            <w:r w:rsidR="0046085F" w:rsidRPr="0046085F">
              <w:t>an emission rate that meets best available control technology requirements as determined by the TCEQ as</w:t>
            </w:r>
            <w:r w:rsidR="00514A9E">
              <w:t xml:space="preserve"> an </w:t>
            </w:r>
            <w:r w:rsidR="0046085F" w:rsidRPr="0046085F">
              <w:t>alternative to the project having to be capable of achieving an annual average emission rate for nitrogen oxides of two parts per million by volume</w:t>
            </w:r>
            <w:r w:rsidR="00C257F2">
              <w:t xml:space="preserve">. </w:t>
            </w:r>
            <w:r w:rsidR="00711256">
              <w:t xml:space="preserve">The bill </w:t>
            </w:r>
            <w:r w:rsidR="00F9515C">
              <w:t xml:space="preserve">increases the minimum percentage of </w:t>
            </w:r>
            <w:r w:rsidR="00F9515C" w:rsidRPr="00F9515C">
              <w:t xml:space="preserve">the carbon dioxide in the portion of the emissions stream from </w:t>
            </w:r>
            <w:r w:rsidR="00F9515C">
              <w:t>an applicable</w:t>
            </w:r>
            <w:r w:rsidR="00F9515C" w:rsidRPr="00F9515C">
              <w:t xml:space="preserve"> facility </w:t>
            </w:r>
            <w:r w:rsidR="00F9515C">
              <w:t>that must be captured and sequestered by a</w:t>
            </w:r>
            <w:r w:rsidR="00A3328F">
              <w:t>n advanced clean energy</w:t>
            </w:r>
            <w:r w:rsidR="00F9515C">
              <w:t xml:space="preserve"> project</w:t>
            </w:r>
            <w:r w:rsidR="00CA7861">
              <w:t xml:space="preserve"> from 50 percent to </w:t>
            </w:r>
            <w:r>
              <w:t>75</w:t>
            </w:r>
            <w:r w:rsidR="00CA7861">
              <w:t xml:space="preserve"> percent</w:t>
            </w:r>
            <w:r w:rsidR="00F9515C">
              <w:t>.</w:t>
            </w:r>
          </w:p>
          <w:p w14:paraId="6F99377C" w14:textId="6C63AFAF" w:rsidR="00F9515C" w:rsidRDefault="00F9515C" w:rsidP="00443FBE">
            <w:pPr>
              <w:pStyle w:val="Header"/>
              <w:tabs>
                <w:tab w:val="clear" w:pos="4320"/>
                <w:tab w:val="clear" w:pos="8640"/>
              </w:tabs>
              <w:jc w:val="both"/>
            </w:pPr>
          </w:p>
          <w:p w14:paraId="4648371F" w14:textId="4DA52AE6" w:rsidR="002819E4" w:rsidRDefault="0060756A" w:rsidP="00443FBE">
            <w:pPr>
              <w:pStyle w:val="Header"/>
              <w:tabs>
                <w:tab w:val="clear" w:pos="4320"/>
                <w:tab w:val="clear" w:pos="8640"/>
              </w:tabs>
              <w:jc w:val="both"/>
            </w:pPr>
            <w:r>
              <w:t>C.S.</w:t>
            </w:r>
            <w:r w:rsidR="00F9515C">
              <w:t xml:space="preserve">H.B. </w:t>
            </w:r>
            <w:r w:rsidR="00B31EA2">
              <w:t xml:space="preserve">1158 </w:t>
            </w:r>
            <w:r>
              <w:t xml:space="preserve">includes the following projects as projects that may be considered </w:t>
            </w:r>
            <w:r w:rsidR="007F60DA">
              <w:t>for</w:t>
            </w:r>
            <w:r w:rsidR="00101159">
              <w:t xml:space="preserve"> </w:t>
            </w:r>
            <w:r w:rsidR="00B31EA2" w:rsidRPr="00B31EA2">
              <w:t>a grant under the new technology implementation grant program</w:t>
            </w:r>
            <w:r w:rsidR="00B31EA2">
              <w:t>:</w:t>
            </w:r>
          </w:p>
          <w:p w14:paraId="4FCBD41B" w14:textId="36AA1AD7" w:rsidR="002819E4" w:rsidRDefault="0060756A" w:rsidP="00443FBE">
            <w:pPr>
              <w:pStyle w:val="Header"/>
              <w:numPr>
                <w:ilvl w:val="0"/>
                <w:numId w:val="2"/>
              </w:numPr>
              <w:jc w:val="both"/>
            </w:pPr>
            <w:r>
              <w:t>projects that utilize technology to capture, use, reuse, store, gather, transport, or sequester carbon dioxide emissions from a new or existing petrochemical plant or electric generation facili</w:t>
            </w:r>
            <w:r>
              <w:t>ty, including a facility powered by coal, natural gas, hydrogen, or ammonia, for the principal purpose of preventing carbon dioxide from entering or remaining in the atmosphere; and</w:t>
            </w:r>
          </w:p>
          <w:p w14:paraId="519652CA" w14:textId="7AC8AE8C" w:rsidR="002819E4" w:rsidRDefault="0060756A" w:rsidP="00443FBE">
            <w:pPr>
              <w:pStyle w:val="Header"/>
              <w:numPr>
                <w:ilvl w:val="0"/>
                <w:numId w:val="2"/>
              </w:numPr>
              <w:tabs>
                <w:tab w:val="clear" w:pos="4320"/>
                <w:tab w:val="clear" w:pos="8640"/>
              </w:tabs>
              <w:jc w:val="both"/>
            </w:pPr>
            <w:r>
              <w:t>projects that involve the use of renewable energy to produce hydrogen fuel</w:t>
            </w:r>
            <w:r>
              <w:t xml:space="preserve"> for use in transportation, agricultural, or industrial processes and result in a reduction of pollutants entering the atmosphere.</w:t>
            </w:r>
          </w:p>
          <w:p w14:paraId="5F2D2B23" w14:textId="62DCB66E" w:rsidR="00ED3F91" w:rsidRDefault="00ED3F91" w:rsidP="00443FBE">
            <w:pPr>
              <w:pStyle w:val="Header"/>
              <w:tabs>
                <w:tab w:val="clear" w:pos="4320"/>
                <w:tab w:val="clear" w:pos="8640"/>
              </w:tabs>
              <w:jc w:val="both"/>
            </w:pPr>
          </w:p>
          <w:p w14:paraId="598641B2" w14:textId="77777777" w:rsidR="001713CB" w:rsidRDefault="0060756A" w:rsidP="00443FBE">
            <w:pPr>
              <w:pStyle w:val="Header"/>
              <w:tabs>
                <w:tab w:val="clear" w:pos="4320"/>
                <w:tab w:val="clear" w:pos="8640"/>
              </w:tabs>
              <w:jc w:val="both"/>
            </w:pPr>
            <w:r>
              <w:t>C.S.</w:t>
            </w:r>
            <w:r w:rsidR="00033335">
              <w:t xml:space="preserve">H.B. 1158 amends the Tax Code to </w:t>
            </w:r>
            <w:r w:rsidR="00AF2922">
              <w:t>revise</w:t>
            </w:r>
            <w:r w:rsidR="00033335">
              <w:t xml:space="preserve"> </w:t>
            </w:r>
            <w:r w:rsidR="00AF2922">
              <w:t>the</w:t>
            </w:r>
            <w:r w:rsidR="00033335">
              <w:t xml:space="preserve"> </w:t>
            </w:r>
            <w:r w:rsidR="00AF2922">
              <w:t xml:space="preserve">conditions under which </w:t>
            </w:r>
            <w:r w:rsidR="00033335">
              <w:t>c</w:t>
            </w:r>
            <w:r w:rsidR="00033335" w:rsidRPr="00033335">
              <w:t>omponents of tangible personal property used in connection with an advanced clean energy project</w:t>
            </w:r>
            <w:r w:rsidR="00033335">
              <w:t xml:space="preserve"> </w:t>
            </w:r>
            <w:r w:rsidR="00033335" w:rsidRPr="00033335">
              <w:t xml:space="preserve">or </w:t>
            </w:r>
            <w:r w:rsidR="00033335">
              <w:t>applicable</w:t>
            </w:r>
            <w:r w:rsidR="00033335" w:rsidRPr="00033335">
              <w:t xml:space="preserve"> clean energy project</w:t>
            </w:r>
            <w:r w:rsidR="00526822">
              <w:t>s</w:t>
            </w:r>
            <w:r w:rsidR="00AF2922" w:rsidRPr="00033335">
              <w:t xml:space="preserve"> </w:t>
            </w:r>
            <w:r w:rsidR="00AF2922">
              <w:t xml:space="preserve">are exempted </w:t>
            </w:r>
            <w:r w:rsidR="00AF2922" w:rsidRPr="00033335">
              <w:t xml:space="preserve">from </w:t>
            </w:r>
            <w:r w:rsidR="00AF2922">
              <w:t>the sales and use</w:t>
            </w:r>
            <w:r w:rsidR="00AF2922" w:rsidRPr="00033335">
              <w:t xml:space="preserve"> tax</w:t>
            </w:r>
            <w:r>
              <w:t xml:space="preserve"> by doing the following:</w:t>
            </w:r>
          </w:p>
          <w:p w14:paraId="76B748B6" w14:textId="7BB83C56" w:rsidR="00250637" w:rsidRDefault="0060756A" w:rsidP="00443FBE">
            <w:pPr>
              <w:pStyle w:val="Header"/>
              <w:numPr>
                <w:ilvl w:val="0"/>
                <w:numId w:val="3"/>
              </w:numPr>
              <w:tabs>
                <w:tab w:val="clear" w:pos="4320"/>
                <w:tab w:val="clear" w:pos="8640"/>
              </w:tabs>
              <w:jc w:val="both"/>
            </w:pPr>
            <w:r>
              <w:t>including the following as exempt components</w:t>
            </w:r>
            <w:r w:rsidR="00A3328F">
              <w:t>:</w:t>
            </w:r>
            <w:r>
              <w:t xml:space="preserve"> </w:t>
            </w:r>
          </w:p>
          <w:p w14:paraId="12235C91" w14:textId="71F563DA" w:rsidR="001713CB" w:rsidRDefault="0060756A" w:rsidP="00443FBE">
            <w:pPr>
              <w:pStyle w:val="Header"/>
              <w:numPr>
                <w:ilvl w:val="1"/>
                <w:numId w:val="3"/>
              </w:numPr>
              <w:tabs>
                <w:tab w:val="clear" w:pos="4320"/>
                <w:tab w:val="clear" w:pos="8640"/>
              </w:tabs>
              <w:jc w:val="both"/>
            </w:pPr>
            <w:r>
              <w:t xml:space="preserve">applicable components of tangible personal property </w:t>
            </w:r>
            <w:r w:rsidRPr="00250637">
              <w:t>purchased an</w:t>
            </w:r>
            <w:r w:rsidRPr="00250637">
              <w:t>d installed by a carbon capture facility</w:t>
            </w:r>
            <w:r w:rsidR="00243723">
              <w:t xml:space="preserve"> that are not otherwise used in connection with an applicable clean energy project</w:t>
            </w:r>
            <w:r>
              <w:t>; and</w:t>
            </w:r>
          </w:p>
          <w:p w14:paraId="2F1AE2C8" w14:textId="647DB05D" w:rsidR="00250637" w:rsidRDefault="0060756A" w:rsidP="00443FBE">
            <w:pPr>
              <w:pStyle w:val="Header"/>
              <w:numPr>
                <w:ilvl w:val="1"/>
                <w:numId w:val="3"/>
              </w:numPr>
              <w:tabs>
                <w:tab w:val="clear" w:pos="4320"/>
                <w:tab w:val="clear" w:pos="8640"/>
              </w:tabs>
              <w:jc w:val="both"/>
            </w:pPr>
            <w:r>
              <w:t xml:space="preserve">applicable components </w:t>
            </w:r>
            <w:r w:rsidR="00CB6B06">
              <w:t>relating to the capture, transportation, injection, or preparation for transportation or injection of carbon dioxide from the atmosphere; and</w:t>
            </w:r>
          </w:p>
          <w:p w14:paraId="33063367" w14:textId="427DD8BC" w:rsidR="00CB6B06" w:rsidRDefault="0060756A" w:rsidP="00443FBE">
            <w:pPr>
              <w:pStyle w:val="Header"/>
              <w:numPr>
                <w:ilvl w:val="0"/>
                <w:numId w:val="3"/>
              </w:numPr>
              <w:tabs>
                <w:tab w:val="clear" w:pos="4320"/>
                <w:tab w:val="clear" w:pos="8640"/>
              </w:tabs>
              <w:jc w:val="both"/>
            </w:pPr>
            <w:r>
              <w:t>replac</w:t>
            </w:r>
            <w:r w:rsidR="001713CB">
              <w:t>ing</w:t>
            </w:r>
            <w:r w:rsidR="00033335" w:rsidRPr="00033335">
              <w:t xml:space="preserve"> </w:t>
            </w:r>
            <w:r>
              <w:t>as a</w:t>
            </w:r>
            <w:r w:rsidR="00033335">
              <w:t xml:space="preserve"> qualification</w:t>
            </w:r>
            <w:r>
              <w:t xml:space="preserve"> for the exemption</w:t>
            </w:r>
            <w:r w:rsidR="00033335">
              <w:t xml:space="preserve"> that </w:t>
            </w:r>
            <w:r w:rsidR="00033335" w:rsidRPr="00033335">
              <w:t xml:space="preserve">the </w:t>
            </w:r>
            <w:r w:rsidR="001B6DB5">
              <w:t xml:space="preserve">applicable </w:t>
            </w:r>
            <w:r w:rsidR="00033335" w:rsidRPr="00033335">
              <w:t xml:space="preserve">carbon dioxide </w:t>
            </w:r>
            <w:r w:rsidR="002A516D">
              <w:t>be</w:t>
            </w:r>
            <w:r w:rsidR="00033335" w:rsidRPr="00033335">
              <w:t xml:space="preserve"> sequestered in </w:t>
            </w:r>
            <w:r w:rsidR="001B6DB5">
              <w:t xml:space="preserve">Texas </w:t>
            </w:r>
            <w:r w:rsidR="001B6DB5" w:rsidRPr="001B6DB5">
              <w:t>in a manner and under conditions that create a reasonable expectation that at least 99 percent of the carbon dioxide will remain sequestered from the atmosphere for at least 1,000 years</w:t>
            </w:r>
            <w:r>
              <w:t xml:space="preserve"> with </w:t>
            </w:r>
            <w:r w:rsidR="001B6DB5">
              <w:t xml:space="preserve">the qualification that </w:t>
            </w:r>
            <w:r w:rsidR="001B6DB5" w:rsidRPr="001B6DB5">
              <w:t xml:space="preserve">the components </w:t>
            </w:r>
            <w:r w:rsidR="00494855">
              <w:t xml:space="preserve">instead </w:t>
            </w:r>
            <w:r w:rsidR="002A516D">
              <w:t>be</w:t>
            </w:r>
            <w:r w:rsidR="001B6DB5" w:rsidRPr="001B6DB5">
              <w:t xml:space="preserve"> used in connection with the capture, use, reuse, storage, </w:t>
            </w:r>
            <w:r w:rsidR="001713CB">
              <w:t xml:space="preserve">injection, </w:t>
            </w:r>
            <w:r w:rsidR="001B6DB5" w:rsidRPr="001B6DB5">
              <w:t xml:space="preserve">or sequestration of carbon dioxide emissions </w:t>
            </w:r>
            <w:r w:rsidR="001713CB">
              <w:t>to prevent</w:t>
            </w:r>
            <w:r w:rsidR="001B6DB5">
              <w:t xml:space="preserve"> </w:t>
            </w:r>
            <w:r w:rsidR="001B6DB5" w:rsidRPr="001B6DB5">
              <w:t>carbon dioxide</w:t>
            </w:r>
            <w:r w:rsidR="001B6DB5">
              <w:t xml:space="preserve"> </w:t>
            </w:r>
            <w:r w:rsidR="001B6DB5" w:rsidRPr="001B6DB5">
              <w:t xml:space="preserve">from entering </w:t>
            </w:r>
            <w:r w:rsidR="001713CB">
              <w:t xml:space="preserve">or remaining in </w:t>
            </w:r>
            <w:r w:rsidR="001B6DB5" w:rsidRPr="001B6DB5">
              <w:t>the atmosphere</w:t>
            </w:r>
            <w:r w:rsidR="001B6DB5">
              <w:t>.</w:t>
            </w:r>
            <w:r w:rsidR="00027BF0">
              <w:t xml:space="preserve"> </w:t>
            </w:r>
          </w:p>
          <w:p w14:paraId="1F15EE1E" w14:textId="00004394" w:rsidR="001B6DB5" w:rsidRPr="009C36CD" w:rsidRDefault="0060756A" w:rsidP="00443FBE">
            <w:pPr>
              <w:pStyle w:val="Header"/>
              <w:tabs>
                <w:tab w:val="clear" w:pos="4320"/>
                <w:tab w:val="clear" w:pos="8640"/>
              </w:tabs>
              <w:jc w:val="both"/>
            </w:pPr>
            <w:r>
              <w:t xml:space="preserve">These provisions of the bill </w:t>
            </w:r>
            <w:r w:rsidR="00027BF0" w:rsidRPr="00027BF0">
              <w:t xml:space="preserve">do not affect tax liability accruing before the </w:t>
            </w:r>
            <w:r w:rsidR="00027BF0">
              <w:t xml:space="preserve">bill's </w:t>
            </w:r>
            <w:r w:rsidR="00027BF0" w:rsidRPr="00027BF0">
              <w:t>effective date.</w:t>
            </w:r>
          </w:p>
          <w:p w14:paraId="03E64447" w14:textId="77777777" w:rsidR="008423E4" w:rsidRPr="00835628" w:rsidRDefault="008423E4" w:rsidP="00443FBE">
            <w:pPr>
              <w:rPr>
                <w:b/>
              </w:rPr>
            </w:pPr>
          </w:p>
        </w:tc>
      </w:tr>
      <w:tr w:rsidR="00EC3AC0" w14:paraId="3568C9AA" w14:textId="77777777" w:rsidTr="00345119">
        <w:tc>
          <w:tcPr>
            <w:tcW w:w="9576" w:type="dxa"/>
          </w:tcPr>
          <w:p w14:paraId="37301415" w14:textId="77777777" w:rsidR="008423E4" w:rsidRPr="00A8133F" w:rsidRDefault="0060756A" w:rsidP="00443FBE">
            <w:pPr>
              <w:rPr>
                <w:b/>
              </w:rPr>
            </w:pPr>
            <w:r w:rsidRPr="009C1E9A">
              <w:rPr>
                <w:b/>
                <w:u w:val="single"/>
              </w:rPr>
              <w:t>EFFECTIVE DATE</w:t>
            </w:r>
            <w:r>
              <w:rPr>
                <w:b/>
              </w:rPr>
              <w:t xml:space="preserve"> </w:t>
            </w:r>
          </w:p>
          <w:p w14:paraId="4A7F366E" w14:textId="77777777" w:rsidR="008423E4" w:rsidRDefault="008423E4" w:rsidP="00443FBE"/>
          <w:p w14:paraId="0D57FAC6" w14:textId="2478A7CC" w:rsidR="008423E4" w:rsidRPr="003624F2" w:rsidRDefault="0060756A" w:rsidP="00443FBE">
            <w:pPr>
              <w:pStyle w:val="Header"/>
              <w:tabs>
                <w:tab w:val="clear" w:pos="4320"/>
                <w:tab w:val="clear" w:pos="8640"/>
              </w:tabs>
              <w:jc w:val="both"/>
            </w:pPr>
            <w:r>
              <w:t xml:space="preserve">September 1, </w:t>
            </w:r>
            <w:r>
              <w:t>2023.</w:t>
            </w:r>
          </w:p>
          <w:p w14:paraId="033C251F" w14:textId="77777777" w:rsidR="008423E4" w:rsidRPr="00233FDB" w:rsidRDefault="008423E4" w:rsidP="00443FBE">
            <w:pPr>
              <w:rPr>
                <w:b/>
              </w:rPr>
            </w:pPr>
          </w:p>
        </w:tc>
      </w:tr>
      <w:tr w:rsidR="00EC3AC0" w14:paraId="5204AF50" w14:textId="77777777" w:rsidTr="00345119">
        <w:tc>
          <w:tcPr>
            <w:tcW w:w="9576" w:type="dxa"/>
          </w:tcPr>
          <w:p w14:paraId="20E258AE" w14:textId="77777777" w:rsidR="001266CD" w:rsidRDefault="0060756A" w:rsidP="00443FBE">
            <w:pPr>
              <w:jc w:val="both"/>
              <w:rPr>
                <w:b/>
                <w:u w:val="single"/>
              </w:rPr>
            </w:pPr>
            <w:r>
              <w:rPr>
                <w:b/>
                <w:u w:val="single"/>
              </w:rPr>
              <w:t>COMPARISON OF INTRODUCED AND SUBSTITUTE</w:t>
            </w:r>
          </w:p>
          <w:p w14:paraId="37BC8B2E" w14:textId="77777777" w:rsidR="0069758F" w:rsidRDefault="0069758F" w:rsidP="00443FBE">
            <w:pPr>
              <w:jc w:val="both"/>
            </w:pPr>
          </w:p>
          <w:p w14:paraId="09A301FA" w14:textId="6CC64E30" w:rsidR="0069758F" w:rsidRDefault="0060756A" w:rsidP="00443FBE">
            <w:pPr>
              <w:jc w:val="both"/>
            </w:pPr>
            <w:r>
              <w:t>While C.S.H.B. 1158 may differ from the introduced in minor or nonsubstantive ways, the following summarizes the substantial differences between the introduced and committee substitute versions of the bill.</w:t>
            </w:r>
          </w:p>
          <w:p w14:paraId="0EB27E5A" w14:textId="70A6005C" w:rsidR="0069758F" w:rsidRDefault="0069758F" w:rsidP="00443FBE">
            <w:pPr>
              <w:jc w:val="both"/>
            </w:pPr>
          </w:p>
          <w:p w14:paraId="2F3EAC03" w14:textId="50E22A92" w:rsidR="00BD36AD" w:rsidRDefault="0060756A" w:rsidP="00443FBE">
            <w:pPr>
              <w:jc w:val="both"/>
            </w:pPr>
            <w:r>
              <w:t xml:space="preserve">The substitute includes a provision </w:t>
            </w:r>
            <w:r w:rsidR="009C4324">
              <w:t xml:space="preserve">absent from </w:t>
            </w:r>
            <w:r>
              <w:t>the introduced that,</w:t>
            </w:r>
            <w:r w:rsidRPr="0069758F">
              <w:t xml:space="preserve"> with regard to the portion of the emissions stream from </w:t>
            </w:r>
            <w:r w:rsidR="009C4324">
              <w:t>a</w:t>
            </w:r>
            <w:r w:rsidR="009C4324" w:rsidRPr="0069758F">
              <w:t xml:space="preserve"> </w:t>
            </w:r>
            <w:r w:rsidRPr="0069758F">
              <w:t>facility that is associated with an advanced clean energy project that is designed for the use of one or more combustion turbine</w:t>
            </w:r>
            <w:r w:rsidRPr="0069758F">
              <w:t>s that burn natural gas,</w:t>
            </w:r>
            <w:r>
              <w:t xml:space="preserve"> </w:t>
            </w:r>
            <w:r w:rsidRPr="0069758F">
              <w:t>allows for the project to be capable of achieving an emission rate that meets best available control technology requirements as determined by the TCEQ as</w:t>
            </w:r>
            <w:r w:rsidR="009C4324">
              <w:t xml:space="preserve"> an</w:t>
            </w:r>
            <w:r w:rsidRPr="0069758F">
              <w:t xml:space="preserve"> alternative to the project having to be capable of achieving an annual ave</w:t>
            </w:r>
            <w:r w:rsidRPr="0069758F">
              <w:t>rage emission rate for nitrogen oxides of two parts per million by volume.</w:t>
            </w:r>
            <w:r>
              <w:t xml:space="preserve"> With regard to the </w:t>
            </w:r>
            <w:r w:rsidRPr="0069758F">
              <w:t>minimum percentage of the carbon dioxide in the portion of the emissions stream from an applicable facility that must be captured and sequestered by an advanced c</w:t>
            </w:r>
            <w:r w:rsidRPr="0069758F">
              <w:t>lean energy project</w:t>
            </w:r>
            <w:r>
              <w:t>, the substitute increases that percentage to 75 percent, whereas the introduced increased it to 90</w:t>
            </w:r>
            <w:r w:rsidR="008A36F9">
              <w:t xml:space="preserve"> percent</w:t>
            </w:r>
            <w:r>
              <w:t>.</w:t>
            </w:r>
          </w:p>
          <w:p w14:paraId="19CBCC25" w14:textId="77777777" w:rsidR="00BD36AD" w:rsidRDefault="00BD36AD" w:rsidP="00443FBE">
            <w:pPr>
              <w:jc w:val="both"/>
            </w:pPr>
          </w:p>
          <w:p w14:paraId="3632EE7A" w14:textId="6E9879EF" w:rsidR="009F7AF6" w:rsidRDefault="0060756A" w:rsidP="00443FBE">
            <w:pPr>
              <w:jc w:val="both"/>
            </w:pPr>
            <w:r>
              <w:t xml:space="preserve">The substitute </w:t>
            </w:r>
            <w:r w:rsidR="009C4324">
              <w:t>omits</w:t>
            </w:r>
            <w:r>
              <w:t xml:space="preserve"> a provision in the introduced </w:t>
            </w:r>
            <w:r>
              <w:t xml:space="preserve">that included as projects that may be considered for a grant under the </w:t>
            </w:r>
            <w:r w:rsidRPr="009F7AF6">
              <w:t>new technology implementation grant program</w:t>
            </w:r>
            <w:r>
              <w:t xml:space="preserve"> </w:t>
            </w:r>
            <w:r w:rsidRPr="009F7AF6">
              <w:t>new technology projects that reduce emissions from upstream and midstream oil and gas production, completions, gathering, storage, processing</w:t>
            </w:r>
            <w:r w:rsidRPr="009F7AF6">
              <w:t>, and transmission activities through the installation of systems to reduce or eliminate carbon dioxide emissions using other combustion control devices</w:t>
            </w:r>
            <w:r>
              <w:t>.</w:t>
            </w:r>
            <w:r w:rsidR="00000F38">
              <w:t xml:space="preserve"> </w:t>
            </w:r>
            <w:r>
              <w:t xml:space="preserve">Whereas the introduced included </w:t>
            </w:r>
            <w:r w:rsidR="00000F38">
              <w:t xml:space="preserve">as projects </w:t>
            </w:r>
            <w:r w:rsidR="00000F38" w:rsidRPr="00000F38">
              <w:t>that may be considered for a grant under the program</w:t>
            </w:r>
            <w:r w:rsidR="00000F38">
              <w:t xml:space="preserve"> projects that utilize technology to capture, use, reuse, store, or sequester carbon dioxide emissions for the principal purpose of preventing carbon dioxide from entering the atmosphere and that are constructed integral or adjacent to a petrochemical plant or an electric generation facility, including a facility powered by coal, natural gas, hydrogen, or ammonia, the substitute does not include projects specified exactly as such but instead includes the following projects:</w:t>
            </w:r>
          </w:p>
          <w:p w14:paraId="47AEBAE5" w14:textId="5CF72C41" w:rsidR="00000F38" w:rsidRDefault="0060756A" w:rsidP="00443FBE">
            <w:pPr>
              <w:pStyle w:val="ListParagraph"/>
              <w:numPr>
                <w:ilvl w:val="0"/>
                <w:numId w:val="4"/>
              </w:numPr>
              <w:contextualSpacing w:val="0"/>
              <w:jc w:val="both"/>
            </w:pPr>
            <w:r>
              <w:t>projects that utilize technology to cap</w:t>
            </w:r>
            <w:r>
              <w:t>ture, use, reuse, store, gather, transport, or sequester carbon dioxide emissions from a new or existing petrochemical plant or electric generation facility, including a facility powered by coal, natural gas, hydrogen, or ammonia, for the principal purpose</w:t>
            </w:r>
            <w:r>
              <w:t xml:space="preserve"> of preventing carbon dioxide from entering or remaining in the atmosphere; and</w:t>
            </w:r>
          </w:p>
          <w:p w14:paraId="153AE223" w14:textId="1881BE1E" w:rsidR="00000F38" w:rsidRDefault="0060756A" w:rsidP="00443FBE">
            <w:pPr>
              <w:pStyle w:val="ListParagraph"/>
              <w:numPr>
                <w:ilvl w:val="0"/>
                <w:numId w:val="4"/>
              </w:numPr>
              <w:contextualSpacing w:val="0"/>
              <w:jc w:val="both"/>
            </w:pPr>
            <w:r>
              <w:t>projects that involve the use of renewable energy to produce hydrogen fuel for use in transportation, agricultural, or industrial processes and result in a reduction of polluta</w:t>
            </w:r>
            <w:r>
              <w:t>nts entering the atmosphere.</w:t>
            </w:r>
          </w:p>
          <w:p w14:paraId="17E3C35F" w14:textId="308C08EB" w:rsidR="009F7AF6" w:rsidRDefault="009F7AF6" w:rsidP="00443FBE">
            <w:pPr>
              <w:jc w:val="both"/>
            </w:pPr>
          </w:p>
          <w:p w14:paraId="7659E065" w14:textId="6A8ABC5C" w:rsidR="002E7115" w:rsidRDefault="0060756A" w:rsidP="00443FBE">
            <w:pPr>
              <w:jc w:val="both"/>
            </w:pPr>
            <w:r>
              <w:t xml:space="preserve">The substitute includes provisions </w:t>
            </w:r>
            <w:r w:rsidR="00C3239E">
              <w:t>absent from</w:t>
            </w:r>
            <w:r>
              <w:t xml:space="preserve"> the introduced that provide for the exemption </w:t>
            </w:r>
            <w:r w:rsidRPr="00DA356F">
              <w:t>from the sales and use tax</w:t>
            </w:r>
            <w:r>
              <w:t xml:space="preserve"> of the following: </w:t>
            </w:r>
          </w:p>
          <w:p w14:paraId="22A3BFA3" w14:textId="77777777" w:rsidR="002E7115" w:rsidRDefault="0060756A" w:rsidP="00443FBE">
            <w:pPr>
              <w:pStyle w:val="ListParagraph"/>
              <w:numPr>
                <w:ilvl w:val="0"/>
                <w:numId w:val="5"/>
              </w:numPr>
              <w:contextualSpacing w:val="0"/>
              <w:jc w:val="both"/>
            </w:pPr>
            <w:r w:rsidRPr="00DA356F">
              <w:t xml:space="preserve">applicable components of tangible personal property purchased and installed by a </w:t>
            </w:r>
            <w:r w:rsidRPr="00DA356F">
              <w:t>carbon capture facility that are not otherwise used in connection with an applicable clean energy project</w:t>
            </w:r>
            <w:r>
              <w:t>; and</w:t>
            </w:r>
          </w:p>
          <w:p w14:paraId="01813B8A" w14:textId="1593147A" w:rsidR="002E7115" w:rsidRDefault="0060756A" w:rsidP="00443FBE">
            <w:pPr>
              <w:pStyle w:val="ListParagraph"/>
              <w:numPr>
                <w:ilvl w:val="0"/>
                <w:numId w:val="5"/>
              </w:numPr>
              <w:contextualSpacing w:val="0"/>
              <w:jc w:val="both"/>
            </w:pPr>
            <w:r w:rsidRPr="002E7115">
              <w:t>applicable components relating to the capture, transportation, injection, or preparation for transportation or injection of carbon dioxide from t</w:t>
            </w:r>
            <w:r w:rsidRPr="002E7115">
              <w:t>he atmosphere</w:t>
            </w:r>
            <w:r>
              <w:t>.</w:t>
            </w:r>
            <w:r w:rsidR="00DA356F">
              <w:t xml:space="preserve"> </w:t>
            </w:r>
          </w:p>
          <w:p w14:paraId="32EC1079" w14:textId="619EF24E" w:rsidR="00DA356F" w:rsidRDefault="0060756A" w:rsidP="00443FBE">
            <w:pPr>
              <w:jc w:val="both"/>
            </w:pPr>
            <w:r>
              <w:t xml:space="preserve">With regard to the replacement of the </w:t>
            </w:r>
            <w:r w:rsidR="008E1246">
              <w:t xml:space="preserve">exemption qualification </w:t>
            </w:r>
            <w:r>
              <w:t>that</w:t>
            </w:r>
            <w:r w:rsidR="008E1246" w:rsidRPr="008E1246">
              <w:t xml:space="preserve"> the applicable carbon dioxide be sequestered in Texas in a manner and under conditions that create a reasonable expectation that at least 99 percent of the carbon dioxide will remain sequestered from the atmosphere for at least 1,000 years</w:t>
            </w:r>
            <w:r w:rsidR="008E1246">
              <w:t xml:space="preserve">, the substitute differs from the introduced by providing for the use of the components for the injection of carbon dioxide </w:t>
            </w:r>
            <w:r w:rsidR="00AF5DE8">
              <w:t xml:space="preserve">emissions </w:t>
            </w:r>
            <w:r w:rsidR="008E1246">
              <w:t>and by including as a purpose of the use of the components the prevention of carbon dioxide remaining in the atmosphere.</w:t>
            </w:r>
          </w:p>
          <w:p w14:paraId="3E83669F" w14:textId="4D8F88B8" w:rsidR="0069758F" w:rsidRPr="0069758F" w:rsidRDefault="0069758F" w:rsidP="00443FBE">
            <w:pPr>
              <w:jc w:val="both"/>
            </w:pPr>
          </w:p>
        </w:tc>
      </w:tr>
      <w:tr w:rsidR="00EC3AC0" w14:paraId="5DDFD45A" w14:textId="77777777" w:rsidTr="00345119">
        <w:tc>
          <w:tcPr>
            <w:tcW w:w="9576" w:type="dxa"/>
          </w:tcPr>
          <w:p w14:paraId="0ED6B4B9" w14:textId="77777777" w:rsidR="001266CD" w:rsidRPr="009C1E9A" w:rsidRDefault="001266CD" w:rsidP="00443FBE">
            <w:pPr>
              <w:rPr>
                <w:b/>
                <w:u w:val="single"/>
              </w:rPr>
            </w:pPr>
          </w:p>
        </w:tc>
      </w:tr>
      <w:tr w:rsidR="00EC3AC0" w14:paraId="5C6D611A" w14:textId="77777777" w:rsidTr="00345119">
        <w:tc>
          <w:tcPr>
            <w:tcW w:w="9576" w:type="dxa"/>
          </w:tcPr>
          <w:p w14:paraId="00ABDDEC" w14:textId="77777777" w:rsidR="001266CD" w:rsidRPr="001266CD" w:rsidRDefault="001266CD" w:rsidP="00443FBE">
            <w:pPr>
              <w:jc w:val="both"/>
            </w:pPr>
          </w:p>
        </w:tc>
      </w:tr>
    </w:tbl>
    <w:p w14:paraId="100D4978" w14:textId="77777777" w:rsidR="008423E4" w:rsidRPr="00BE0E75" w:rsidRDefault="008423E4" w:rsidP="00443FBE">
      <w:pPr>
        <w:jc w:val="both"/>
        <w:rPr>
          <w:rFonts w:ascii="Arial" w:hAnsi="Arial"/>
          <w:sz w:val="16"/>
          <w:szCs w:val="16"/>
        </w:rPr>
      </w:pPr>
    </w:p>
    <w:p w14:paraId="68C82861" w14:textId="77777777" w:rsidR="004108C3" w:rsidRPr="008423E4" w:rsidRDefault="004108C3" w:rsidP="00443FB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8594" w14:textId="77777777" w:rsidR="00000000" w:rsidRDefault="0060756A">
      <w:r>
        <w:separator/>
      </w:r>
    </w:p>
  </w:endnote>
  <w:endnote w:type="continuationSeparator" w:id="0">
    <w:p w14:paraId="4AC4A20E" w14:textId="77777777" w:rsidR="00000000" w:rsidRDefault="0060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9D30" w14:textId="77777777" w:rsidR="00B15851" w:rsidRDefault="00B15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C3AC0" w14:paraId="0219FF65" w14:textId="77777777" w:rsidTr="009C1E9A">
      <w:trPr>
        <w:cantSplit/>
      </w:trPr>
      <w:tc>
        <w:tcPr>
          <w:tcW w:w="0" w:type="pct"/>
        </w:tcPr>
        <w:p w14:paraId="52CFEB7C" w14:textId="77777777" w:rsidR="00137D90" w:rsidRDefault="00137D90" w:rsidP="009C1E9A">
          <w:pPr>
            <w:pStyle w:val="Footer"/>
            <w:tabs>
              <w:tab w:val="clear" w:pos="8640"/>
              <w:tab w:val="right" w:pos="9360"/>
            </w:tabs>
          </w:pPr>
        </w:p>
      </w:tc>
      <w:tc>
        <w:tcPr>
          <w:tcW w:w="2395" w:type="pct"/>
        </w:tcPr>
        <w:p w14:paraId="0D89D203" w14:textId="77777777" w:rsidR="00137D90" w:rsidRDefault="00137D90" w:rsidP="009C1E9A">
          <w:pPr>
            <w:pStyle w:val="Footer"/>
            <w:tabs>
              <w:tab w:val="clear" w:pos="8640"/>
              <w:tab w:val="right" w:pos="9360"/>
            </w:tabs>
          </w:pPr>
        </w:p>
        <w:p w14:paraId="7B4A6805" w14:textId="77777777" w:rsidR="001A4310" w:rsidRDefault="001A4310" w:rsidP="009C1E9A">
          <w:pPr>
            <w:pStyle w:val="Footer"/>
            <w:tabs>
              <w:tab w:val="clear" w:pos="8640"/>
              <w:tab w:val="right" w:pos="9360"/>
            </w:tabs>
          </w:pPr>
        </w:p>
        <w:p w14:paraId="70858B17" w14:textId="77777777" w:rsidR="00137D90" w:rsidRDefault="00137D90" w:rsidP="009C1E9A">
          <w:pPr>
            <w:pStyle w:val="Footer"/>
            <w:tabs>
              <w:tab w:val="clear" w:pos="8640"/>
              <w:tab w:val="right" w:pos="9360"/>
            </w:tabs>
          </w:pPr>
        </w:p>
      </w:tc>
      <w:tc>
        <w:tcPr>
          <w:tcW w:w="2453" w:type="pct"/>
        </w:tcPr>
        <w:p w14:paraId="4E35D42F" w14:textId="77777777" w:rsidR="00137D90" w:rsidRDefault="00137D90" w:rsidP="009C1E9A">
          <w:pPr>
            <w:pStyle w:val="Footer"/>
            <w:tabs>
              <w:tab w:val="clear" w:pos="8640"/>
              <w:tab w:val="right" w:pos="9360"/>
            </w:tabs>
            <w:jc w:val="right"/>
          </w:pPr>
        </w:p>
      </w:tc>
    </w:tr>
    <w:tr w:rsidR="00EC3AC0" w14:paraId="0E6076BC" w14:textId="77777777" w:rsidTr="009C1E9A">
      <w:trPr>
        <w:cantSplit/>
      </w:trPr>
      <w:tc>
        <w:tcPr>
          <w:tcW w:w="0" w:type="pct"/>
        </w:tcPr>
        <w:p w14:paraId="3A6783E2" w14:textId="77777777" w:rsidR="00EC379B" w:rsidRDefault="00EC379B" w:rsidP="009C1E9A">
          <w:pPr>
            <w:pStyle w:val="Footer"/>
            <w:tabs>
              <w:tab w:val="clear" w:pos="8640"/>
              <w:tab w:val="right" w:pos="9360"/>
            </w:tabs>
          </w:pPr>
        </w:p>
      </w:tc>
      <w:tc>
        <w:tcPr>
          <w:tcW w:w="2395" w:type="pct"/>
        </w:tcPr>
        <w:p w14:paraId="303B45CE" w14:textId="7A83847E" w:rsidR="00EC379B" w:rsidRPr="009C1E9A" w:rsidRDefault="0060756A" w:rsidP="009C1E9A">
          <w:pPr>
            <w:pStyle w:val="Footer"/>
            <w:tabs>
              <w:tab w:val="clear" w:pos="8640"/>
              <w:tab w:val="right" w:pos="9360"/>
            </w:tabs>
            <w:rPr>
              <w:rFonts w:ascii="Shruti" w:hAnsi="Shruti"/>
              <w:sz w:val="22"/>
            </w:rPr>
          </w:pPr>
          <w:r>
            <w:rPr>
              <w:rFonts w:ascii="Shruti" w:hAnsi="Shruti"/>
              <w:sz w:val="22"/>
            </w:rPr>
            <w:t>88R 22892-D</w:t>
          </w:r>
        </w:p>
      </w:tc>
      <w:tc>
        <w:tcPr>
          <w:tcW w:w="2453" w:type="pct"/>
        </w:tcPr>
        <w:p w14:paraId="6CF1AC00" w14:textId="598EBBA5" w:rsidR="00EC379B" w:rsidRDefault="0060756A" w:rsidP="009C1E9A">
          <w:pPr>
            <w:pStyle w:val="Footer"/>
            <w:tabs>
              <w:tab w:val="clear" w:pos="8640"/>
              <w:tab w:val="right" w:pos="9360"/>
            </w:tabs>
            <w:jc w:val="right"/>
          </w:pPr>
          <w:r>
            <w:fldChar w:fldCharType="begin"/>
          </w:r>
          <w:r>
            <w:instrText xml:space="preserve"> DOCPROPERTY  OTID  \* MERGEFORMAT </w:instrText>
          </w:r>
          <w:r>
            <w:fldChar w:fldCharType="separate"/>
          </w:r>
          <w:r w:rsidR="006729DD">
            <w:t>23.101.863</w:t>
          </w:r>
          <w:r>
            <w:fldChar w:fldCharType="end"/>
          </w:r>
        </w:p>
      </w:tc>
    </w:tr>
    <w:tr w:rsidR="00EC3AC0" w14:paraId="0F55BBB7" w14:textId="77777777" w:rsidTr="009C1E9A">
      <w:trPr>
        <w:cantSplit/>
      </w:trPr>
      <w:tc>
        <w:tcPr>
          <w:tcW w:w="0" w:type="pct"/>
        </w:tcPr>
        <w:p w14:paraId="25B7D228" w14:textId="77777777" w:rsidR="00EC379B" w:rsidRDefault="00EC379B" w:rsidP="009C1E9A">
          <w:pPr>
            <w:pStyle w:val="Footer"/>
            <w:tabs>
              <w:tab w:val="clear" w:pos="4320"/>
              <w:tab w:val="clear" w:pos="8640"/>
              <w:tab w:val="left" w:pos="2865"/>
            </w:tabs>
          </w:pPr>
        </w:p>
      </w:tc>
      <w:tc>
        <w:tcPr>
          <w:tcW w:w="2395" w:type="pct"/>
        </w:tcPr>
        <w:p w14:paraId="1806036D" w14:textId="076108B8" w:rsidR="00EC379B" w:rsidRPr="009C1E9A" w:rsidRDefault="0060756A" w:rsidP="009C1E9A">
          <w:pPr>
            <w:pStyle w:val="Footer"/>
            <w:tabs>
              <w:tab w:val="clear" w:pos="4320"/>
              <w:tab w:val="clear" w:pos="8640"/>
              <w:tab w:val="left" w:pos="2865"/>
            </w:tabs>
            <w:rPr>
              <w:rFonts w:ascii="Shruti" w:hAnsi="Shruti"/>
              <w:sz w:val="22"/>
            </w:rPr>
          </w:pPr>
          <w:r>
            <w:rPr>
              <w:rFonts w:ascii="Shruti" w:hAnsi="Shruti"/>
              <w:sz w:val="22"/>
            </w:rPr>
            <w:t>Substitute Document Number: 88R 21597</w:t>
          </w:r>
        </w:p>
      </w:tc>
      <w:tc>
        <w:tcPr>
          <w:tcW w:w="2453" w:type="pct"/>
        </w:tcPr>
        <w:p w14:paraId="39BE3D99" w14:textId="77777777" w:rsidR="00EC379B" w:rsidRDefault="00EC379B" w:rsidP="006D504F">
          <w:pPr>
            <w:pStyle w:val="Footer"/>
            <w:rPr>
              <w:rStyle w:val="PageNumber"/>
            </w:rPr>
          </w:pPr>
        </w:p>
        <w:p w14:paraId="524DD79E" w14:textId="77777777" w:rsidR="00EC379B" w:rsidRDefault="00EC379B" w:rsidP="009C1E9A">
          <w:pPr>
            <w:pStyle w:val="Footer"/>
            <w:tabs>
              <w:tab w:val="clear" w:pos="8640"/>
              <w:tab w:val="right" w:pos="9360"/>
            </w:tabs>
            <w:jc w:val="right"/>
          </w:pPr>
        </w:p>
      </w:tc>
    </w:tr>
    <w:tr w:rsidR="00EC3AC0" w14:paraId="7F3A93BB" w14:textId="77777777" w:rsidTr="009C1E9A">
      <w:trPr>
        <w:cantSplit/>
        <w:trHeight w:val="323"/>
      </w:trPr>
      <w:tc>
        <w:tcPr>
          <w:tcW w:w="0" w:type="pct"/>
          <w:gridSpan w:val="3"/>
        </w:tcPr>
        <w:p w14:paraId="670F23DC" w14:textId="77777777" w:rsidR="00EC379B" w:rsidRDefault="0060756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ADF9A98" w14:textId="77777777" w:rsidR="00EC379B" w:rsidRDefault="00EC379B" w:rsidP="009C1E9A">
          <w:pPr>
            <w:pStyle w:val="Footer"/>
            <w:tabs>
              <w:tab w:val="clear" w:pos="8640"/>
              <w:tab w:val="right" w:pos="9360"/>
            </w:tabs>
            <w:jc w:val="center"/>
          </w:pPr>
        </w:p>
      </w:tc>
    </w:tr>
  </w:tbl>
  <w:p w14:paraId="054256F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5C36" w14:textId="77777777" w:rsidR="00B15851" w:rsidRDefault="00B15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84C7" w14:textId="77777777" w:rsidR="00000000" w:rsidRDefault="0060756A">
      <w:r>
        <w:separator/>
      </w:r>
    </w:p>
  </w:footnote>
  <w:footnote w:type="continuationSeparator" w:id="0">
    <w:p w14:paraId="1036FE13" w14:textId="77777777" w:rsidR="00000000" w:rsidRDefault="0060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3C63" w14:textId="77777777" w:rsidR="00B15851" w:rsidRDefault="00B15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5B5E" w14:textId="77777777" w:rsidR="00B15851" w:rsidRDefault="00B158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19D" w14:textId="77777777" w:rsidR="00B15851" w:rsidRDefault="00B15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EE4"/>
    <w:multiLevelType w:val="hybridMultilevel"/>
    <w:tmpl w:val="FE98C0D4"/>
    <w:lvl w:ilvl="0" w:tplc="DDA232C4">
      <w:start w:val="1"/>
      <w:numFmt w:val="bullet"/>
      <w:lvlText w:val=""/>
      <w:lvlJc w:val="left"/>
      <w:pPr>
        <w:tabs>
          <w:tab w:val="num" w:pos="720"/>
        </w:tabs>
        <w:ind w:left="720" w:hanging="360"/>
      </w:pPr>
      <w:rPr>
        <w:rFonts w:ascii="Symbol" w:hAnsi="Symbol" w:hint="default"/>
      </w:rPr>
    </w:lvl>
    <w:lvl w:ilvl="1" w:tplc="EF32F096" w:tentative="1">
      <w:start w:val="1"/>
      <w:numFmt w:val="bullet"/>
      <w:lvlText w:val="o"/>
      <w:lvlJc w:val="left"/>
      <w:pPr>
        <w:ind w:left="1440" w:hanging="360"/>
      </w:pPr>
      <w:rPr>
        <w:rFonts w:ascii="Courier New" w:hAnsi="Courier New" w:cs="Courier New" w:hint="default"/>
      </w:rPr>
    </w:lvl>
    <w:lvl w:ilvl="2" w:tplc="71C29540" w:tentative="1">
      <w:start w:val="1"/>
      <w:numFmt w:val="bullet"/>
      <w:lvlText w:val=""/>
      <w:lvlJc w:val="left"/>
      <w:pPr>
        <w:ind w:left="2160" w:hanging="360"/>
      </w:pPr>
      <w:rPr>
        <w:rFonts w:ascii="Wingdings" w:hAnsi="Wingdings" w:hint="default"/>
      </w:rPr>
    </w:lvl>
    <w:lvl w:ilvl="3" w:tplc="3822FA2A" w:tentative="1">
      <w:start w:val="1"/>
      <w:numFmt w:val="bullet"/>
      <w:lvlText w:val=""/>
      <w:lvlJc w:val="left"/>
      <w:pPr>
        <w:ind w:left="2880" w:hanging="360"/>
      </w:pPr>
      <w:rPr>
        <w:rFonts w:ascii="Symbol" w:hAnsi="Symbol" w:hint="default"/>
      </w:rPr>
    </w:lvl>
    <w:lvl w:ilvl="4" w:tplc="A4480788" w:tentative="1">
      <w:start w:val="1"/>
      <w:numFmt w:val="bullet"/>
      <w:lvlText w:val="o"/>
      <w:lvlJc w:val="left"/>
      <w:pPr>
        <w:ind w:left="3600" w:hanging="360"/>
      </w:pPr>
      <w:rPr>
        <w:rFonts w:ascii="Courier New" w:hAnsi="Courier New" w:cs="Courier New" w:hint="default"/>
      </w:rPr>
    </w:lvl>
    <w:lvl w:ilvl="5" w:tplc="4B905FFA" w:tentative="1">
      <w:start w:val="1"/>
      <w:numFmt w:val="bullet"/>
      <w:lvlText w:val=""/>
      <w:lvlJc w:val="left"/>
      <w:pPr>
        <w:ind w:left="4320" w:hanging="360"/>
      </w:pPr>
      <w:rPr>
        <w:rFonts w:ascii="Wingdings" w:hAnsi="Wingdings" w:hint="default"/>
      </w:rPr>
    </w:lvl>
    <w:lvl w:ilvl="6" w:tplc="647C5130" w:tentative="1">
      <w:start w:val="1"/>
      <w:numFmt w:val="bullet"/>
      <w:lvlText w:val=""/>
      <w:lvlJc w:val="left"/>
      <w:pPr>
        <w:ind w:left="5040" w:hanging="360"/>
      </w:pPr>
      <w:rPr>
        <w:rFonts w:ascii="Symbol" w:hAnsi="Symbol" w:hint="default"/>
      </w:rPr>
    </w:lvl>
    <w:lvl w:ilvl="7" w:tplc="16F4CDDA" w:tentative="1">
      <w:start w:val="1"/>
      <w:numFmt w:val="bullet"/>
      <w:lvlText w:val="o"/>
      <w:lvlJc w:val="left"/>
      <w:pPr>
        <w:ind w:left="5760" w:hanging="360"/>
      </w:pPr>
      <w:rPr>
        <w:rFonts w:ascii="Courier New" w:hAnsi="Courier New" w:cs="Courier New" w:hint="default"/>
      </w:rPr>
    </w:lvl>
    <w:lvl w:ilvl="8" w:tplc="C19ADC4A" w:tentative="1">
      <w:start w:val="1"/>
      <w:numFmt w:val="bullet"/>
      <w:lvlText w:val=""/>
      <w:lvlJc w:val="left"/>
      <w:pPr>
        <w:ind w:left="6480" w:hanging="360"/>
      </w:pPr>
      <w:rPr>
        <w:rFonts w:ascii="Wingdings" w:hAnsi="Wingdings" w:hint="default"/>
      </w:rPr>
    </w:lvl>
  </w:abstractNum>
  <w:abstractNum w:abstractNumId="1" w15:restartNumberingAfterBreak="0">
    <w:nsid w:val="40525D95"/>
    <w:multiLevelType w:val="hybridMultilevel"/>
    <w:tmpl w:val="D990F0FA"/>
    <w:lvl w:ilvl="0" w:tplc="7F5425DE">
      <w:start w:val="1"/>
      <w:numFmt w:val="bullet"/>
      <w:lvlText w:val=""/>
      <w:lvlJc w:val="left"/>
      <w:pPr>
        <w:tabs>
          <w:tab w:val="num" w:pos="720"/>
        </w:tabs>
        <w:ind w:left="720" w:hanging="360"/>
      </w:pPr>
      <w:rPr>
        <w:rFonts w:ascii="Symbol" w:hAnsi="Symbol" w:hint="default"/>
      </w:rPr>
    </w:lvl>
    <w:lvl w:ilvl="1" w:tplc="09FEB16C" w:tentative="1">
      <w:start w:val="1"/>
      <w:numFmt w:val="bullet"/>
      <w:lvlText w:val="o"/>
      <w:lvlJc w:val="left"/>
      <w:pPr>
        <w:ind w:left="1440" w:hanging="360"/>
      </w:pPr>
      <w:rPr>
        <w:rFonts w:ascii="Courier New" w:hAnsi="Courier New" w:cs="Courier New" w:hint="default"/>
      </w:rPr>
    </w:lvl>
    <w:lvl w:ilvl="2" w:tplc="1FF8B092" w:tentative="1">
      <w:start w:val="1"/>
      <w:numFmt w:val="bullet"/>
      <w:lvlText w:val=""/>
      <w:lvlJc w:val="left"/>
      <w:pPr>
        <w:ind w:left="2160" w:hanging="360"/>
      </w:pPr>
      <w:rPr>
        <w:rFonts w:ascii="Wingdings" w:hAnsi="Wingdings" w:hint="default"/>
      </w:rPr>
    </w:lvl>
    <w:lvl w:ilvl="3" w:tplc="60DEAC7A" w:tentative="1">
      <w:start w:val="1"/>
      <w:numFmt w:val="bullet"/>
      <w:lvlText w:val=""/>
      <w:lvlJc w:val="left"/>
      <w:pPr>
        <w:ind w:left="2880" w:hanging="360"/>
      </w:pPr>
      <w:rPr>
        <w:rFonts w:ascii="Symbol" w:hAnsi="Symbol" w:hint="default"/>
      </w:rPr>
    </w:lvl>
    <w:lvl w:ilvl="4" w:tplc="57DE625E" w:tentative="1">
      <w:start w:val="1"/>
      <w:numFmt w:val="bullet"/>
      <w:lvlText w:val="o"/>
      <w:lvlJc w:val="left"/>
      <w:pPr>
        <w:ind w:left="3600" w:hanging="360"/>
      </w:pPr>
      <w:rPr>
        <w:rFonts w:ascii="Courier New" w:hAnsi="Courier New" w:cs="Courier New" w:hint="default"/>
      </w:rPr>
    </w:lvl>
    <w:lvl w:ilvl="5" w:tplc="0D52742E" w:tentative="1">
      <w:start w:val="1"/>
      <w:numFmt w:val="bullet"/>
      <w:lvlText w:val=""/>
      <w:lvlJc w:val="left"/>
      <w:pPr>
        <w:ind w:left="4320" w:hanging="360"/>
      </w:pPr>
      <w:rPr>
        <w:rFonts w:ascii="Wingdings" w:hAnsi="Wingdings" w:hint="default"/>
      </w:rPr>
    </w:lvl>
    <w:lvl w:ilvl="6" w:tplc="6B0AC7B4" w:tentative="1">
      <w:start w:val="1"/>
      <w:numFmt w:val="bullet"/>
      <w:lvlText w:val=""/>
      <w:lvlJc w:val="left"/>
      <w:pPr>
        <w:ind w:left="5040" w:hanging="360"/>
      </w:pPr>
      <w:rPr>
        <w:rFonts w:ascii="Symbol" w:hAnsi="Symbol" w:hint="default"/>
      </w:rPr>
    </w:lvl>
    <w:lvl w:ilvl="7" w:tplc="E2929144" w:tentative="1">
      <w:start w:val="1"/>
      <w:numFmt w:val="bullet"/>
      <w:lvlText w:val="o"/>
      <w:lvlJc w:val="left"/>
      <w:pPr>
        <w:ind w:left="5760" w:hanging="360"/>
      </w:pPr>
      <w:rPr>
        <w:rFonts w:ascii="Courier New" w:hAnsi="Courier New" w:cs="Courier New" w:hint="default"/>
      </w:rPr>
    </w:lvl>
    <w:lvl w:ilvl="8" w:tplc="72FEF94E" w:tentative="1">
      <w:start w:val="1"/>
      <w:numFmt w:val="bullet"/>
      <w:lvlText w:val=""/>
      <w:lvlJc w:val="left"/>
      <w:pPr>
        <w:ind w:left="6480" w:hanging="360"/>
      </w:pPr>
      <w:rPr>
        <w:rFonts w:ascii="Wingdings" w:hAnsi="Wingdings" w:hint="default"/>
      </w:rPr>
    </w:lvl>
  </w:abstractNum>
  <w:abstractNum w:abstractNumId="2" w15:restartNumberingAfterBreak="0">
    <w:nsid w:val="4A0C6A17"/>
    <w:multiLevelType w:val="hybridMultilevel"/>
    <w:tmpl w:val="7D0480CE"/>
    <w:lvl w:ilvl="0" w:tplc="00343394">
      <w:start w:val="1"/>
      <w:numFmt w:val="bullet"/>
      <w:lvlText w:val=""/>
      <w:lvlJc w:val="left"/>
      <w:pPr>
        <w:tabs>
          <w:tab w:val="num" w:pos="720"/>
        </w:tabs>
        <w:ind w:left="720" w:hanging="360"/>
      </w:pPr>
      <w:rPr>
        <w:rFonts w:ascii="Symbol" w:hAnsi="Symbol" w:hint="default"/>
      </w:rPr>
    </w:lvl>
    <w:lvl w:ilvl="1" w:tplc="1A802124">
      <w:start w:val="1"/>
      <w:numFmt w:val="bullet"/>
      <w:lvlText w:val="o"/>
      <w:lvlJc w:val="left"/>
      <w:pPr>
        <w:ind w:left="1440" w:hanging="360"/>
      </w:pPr>
      <w:rPr>
        <w:rFonts w:ascii="Courier New" w:hAnsi="Courier New" w:cs="Courier New" w:hint="default"/>
      </w:rPr>
    </w:lvl>
    <w:lvl w:ilvl="2" w:tplc="BC84B206" w:tentative="1">
      <w:start w:val="1"/>
      <w:numFmt w:val="bullet"/>
      <w:lvlText w:val=""/>
      <w:lvlJc w:val="left"/>
      <w:pPr>
        <w:ind w:left="2160" w:hanging="360"/>
      </w:pPr>
      <w:rPr>
        <w:rFonts w:ascii="Wingdings" w:hAnsi="Wingdings" w:hint="default"/>
      </w:rPr>
    </w:lvl>
    <w:lvl w:ilvl="3" w:tplc="35987F1A" w:tentative="1">
      <w:start w:val="1"/>
      <w:numFmt w:val="bullet"/>
      <w:lvlText w:val=""/>
      <w:lvlJc w:val="left"/>
      <w:pPr>
        <w:ind w:left="2880" w:hanging="360"/>
      </w:pPr>
      <w:rPr>
        <w:rFonts w:ascii="Symbol" w:hAnsi="Symbol" w:hint="default"/>
      </w:rPr>
    </w:lvl>
    <w:lvl w:ilvl="4" w:tplc="72464D2C" w:tentative="1">
      <w:start w:val="1"/>
      <w:numFmt w:val="bullet"/>
      <w:lvlText w:val="o"/>
      <w:lvlJc w:val="left"/>
      <w:pPr>
        <w:ind w:left="3600" w:hanging="360"/>
      </w:pPr>
      <w:rPr>
        <w:rFonts w:ascii="Courier New" w:hAnsi="Courier New" w:cs="Courier New" w:hint="default"/>
      </w:rPr>
    </w:lvl>
    <w:lvl w:ilvl="5" w:tplc="11F8C1A8" w:tentative="1">
      <w:start w:val="1"/>
      <w:numFmt w:val="bullet"/>
      <w:lvlText w:val=""/>
      <w:lvlJc w:val="left"/>
      <w:pPr>
        <w:ind w:left="4320" w:hanging="360"/>
      </w:pPr>
      <w:rPr>
        <w:rFonts w:ascii="Wingdings" w:hAnsi="Wingdings" w:hint="default"/>
      </w:rPr>
    </w:lvl>
    <w:lvl w:ilvl="6" w:tplc="BB040020" w:tentative="1">
      <w:start w:val="1"/>
      <w:numFmt w:val="bullet"/>
      <w:lvlText w:val=""/>
      <w:lvlJc w:val="left"/>
      <w:pPr>
        <w:ind w:left="5040" w:hanging="360"/>
      </w:pPr>
      <w:rPr>
        <w:rFonts w:ascii="Symbol" w:hAnsi="Symbol" w:hint="default"/>
      </w:rPr>
    </w:lvl>
    <w:lvl w:ilvl="7" w:tplc="066A74EC" w:tentative="1">
      <w:start w:val="1"/>
      <w:numFmt w:val="bullet"/>
      <w:lvlText w:val="o"/>
      <w:lvlJc w:val="left"/>
      <w:pPr>
        <w:ind w:left="5760" w:hanging="360"/>
      </w:pPr>
      <w:rPr>
        <w:rFonts w:ascii="Courier New" w:hAnsi="Courier New" w:cs="Courier New" w:hint="default"/>
      </w:rPr>
    </w:lvl>
    <w:lvl w:ilvl="8" w:tplc="DC2E687E" w:tentative="1">
      <w:start w:val="1"/>
      <w:numFmt w:val="bullet"/>
      <w:lvlText w:val=""/>
      <w:lvlJc w:val="left"/>
      <w:pPr>
        <w:ind w:left="6480" w:hanging="360"/>
      </w:pPr>
      <w:rPr>
        <w:rFonts w:ascii="Wingdings" w:hAnsi="Wingdings" w:hint="default"/>
      </w:rPr>
    </w:lvl>
  </w:abstractNum>
  <w:abstractNum w:abstractNumId="3" w15:restartNumberingAfterBreak="0">
    <w:nsid w:val="58690A68"/>
    <w:multiLevelType w:val="hybridMultilevel"/>
    <w:tmpl w:val="D152F2A8"/>
    <w:lvl w:ilvl="0" w:tplc="8696AC9A">
      <w:start w:val="1"/>
      <w:numFmt w:val="bullet"/>
      <w:lvlText w:val=""/>
      <w:lvlJc w:val="left"/>
      <w:pPr>
        <w:tabs>
          <w:tab w:val="num" w:pos="720"/>
        </w:tabs>
        <w:ind w:left="720" w:hanging="360"/>
      </w:pPr>
      <w:rPr>
        <w:rFonts w:ascii="Symbol" w:hAnsi="Symbol" w:hint="default"/>
      </w:rPr>
    </w:lvl>
    <w:lvl w:ilvl="1" w:tplc="331E867C" w:tentative="1">
      <w:start w:val="1"/>
      <w:numFmt w:val="bullet"/>
      <w:lvlText w:val="o"/>
      <w:lvlJc w:val="left"/>
      <w:pPr>
        <w:ind w:left="1440" w:hanging="360"/>
      </w:pPr>
      <w:rPr>
        <w:rFonts w:ascii="Courier New" w:hAnsi="Courier New" w:cs="Courier New" w:hint="default"/>
      </w:rPr>
    </w:lvl>
    <w:lvl w:ilvl="2" w:tplc="DE26F3A8" w:tentative="1">
      <w:start w:val="1"/>
      <w:numFmt w:val="bullet"/>
      <w:lvlText w:val=""/>
      <w:lvlJc w:val="left"/>
      <w:pPr>
        <w:ind w:left="2160" w:hanging="360"/>
      </w:pPr>
      <w:rPr>
        <w:rFonts w:ascii="Wingdings" w:hAnsi="Wingdings" w:hint="default"/>
      </w:rPr>
    </w:lvl>
    <w:lvl w:ilvl="3" w:tplc="1608762A" w:tentative="1">
      <w:start w:val="1"/>
      <w:numFmt w:val="bullet"/>
      <w:lvlText w:val=""/>
      <w:lvlJc w:val="left"/>
      <w:pPr>
        <w:ind w:left="2880" w:hanging="360"/>
      </w:pPr>
      <w:rPr>
        <w:rFonts w:ascii="Symbol" w:hAnsi="Symbol" w:hint="default"/>
      </w:rPr>
    </w:lvl>
    <w:lvl w:ilvl="4" w:tplc="AFF85C2E" w:tentative="1">
      <w:start w:val="1"/>
      <w:numFmt w:val="bullet"/>
      <w:lvlText w:val="o"/>
      <w:lvlJc w:val="left"/>
      <w:pPr>
        <w:ind w:left="3600" w:hanging="360"/>
      </w:pPr>
      <w:rPr>
        <w:rFonts w:ascii="Courier New" w:hAnsi="Courier New" w:cs="Courier New" w:hint="default"/>
      </w:rPr>
    </w:lvl>
    <w:lvl w:ilvl="5" w:tplc="D7DA782A" w:tentative="1">
      <w:start w:val="1"/>
      <w:numFmt w:val="bullet"/>
      <w:lvlText w:val=""/>
      <w:lvlJc w:val="left"/>
      <w:pPr>
        <w:ind w:left="4320" w:hanging="360"/>
      </w:pPr>
      <w:rPr>
        <w:rFonts w:ascii="Wingdings" w:hAnsi="Wingdings" w:hint="default"/>
      </w:rPr>
    </w:lvl>
    <w:lvl w:ilvl="6" w:tplc="88BE6024" w:tentative="1">
      <w:start w:val="1"/>
      <w:numFmt w:val="bullet"/>
      <w:lvlText w:val=""/>
      <w:lvlJc w:val="left"/>
      <w:pPr>
        <w:ind w:left="5040" w:hanging="360"/>
      </w:pPr>
      <w:rPr>
        <w:rFonts w:ascii="Symbol" w:hAnsi="Symbol" w:hint="default"/>
      </w:rPr>
    </w:lvl>
    <w:lvl w:ilvl="7" w:tplc="9E164BDA" w:tentative="1">
      <w:start w:val="1"/>
      <w:numFmt w:val="bullet"/>
      <w:lvlText w:val="o"/>
      <w:lvlJc w:val="left"/>
      <w:pPr>
        <w:ind w:left="5760" w:hanging="360"/>
      </w:pPr>
      <w:rPr>
        <w:rFonts w:ascii="Courier New" w:hAnsi="Courier New" w:cs="Courier New" w:hint="default"/>
      </w:rPr>
    </w:lvl>
    <w:lvl w:ilvl="8" w:tplc="3CCE3644" w:tentative="1">
      <w:start w:val="1"/>
      <w:numFmt w:val="bullet"/>
      <w:lvlText w:val=""/>
      <w:lvlJc w:val="left"/>
      <w:pPr>
        <w:ind w:left="6480" w:hanging="360"/>
      </w:pPr>
      <w:rPr>
        <w:rFonts w:ascii="Wingdings" w:hAnsi="Wingdings" w:hint="default"/>
      </w:rPr>
    </w:lvl>
  </w:abstractNum>
  <w:abstractNum w:abstractNumId="4" w15:restartNumberingAfterBreak="0">
    <w:nsid w:val="6AA5129C"/>
    <w:multiLevelType w:val="hybridMultilevel"/>
    <w:tmpl w:val="17F44D28"/>
    <w:lvl w:ilvl="0" w:tplc="55B6848E">
      <w:start w:val="1"/>
      <w:numFmt w:val="bullet"/>
      <w:lvlText w:val=""/>
      <w:lvlJc w:val="left"/>
      <w:pPr>
        <w:tabs>
          <w:tab w:val="num" w:pos="720"/>
        </w:tabs>
        <w:ind w:left="720" w:hanging="360"/>
      </w:pPr>
      <w:rPr>
        <w:rFonts w:ascii="Symbol" w:hAnsi="Symbol" w:hint="default"/>
      </w:rPr>
    </w:lvl>
    <w:lvl w:ilvl="1" w:tplc="A77CC41A">
      <w:start w:val="1"/>
      <w:numFmt w:val="bullet"/>
      <w:lvlText w:val="o"/>
      <w:lvlJc w:val="left"/>
      <w:pPr>
        <w:ind w:left="1440" w:hanging="360"/>
      </w:pPr>
      <w:rPr>
        <w:rFonts w:ascii="Courier New" w:hAnsi="Courier New" w:cs="Courier New" w:hint="default"/>
      </w:rPr>
    </w:lvl>
    <w:lvl w:ilvl="2" w:tplc="B1C688EE" w:tentative="1">
      <w:start w:val="1"/>
      <w:numFmt w:val="bullet"/>
      <w:lvlText w:val=""/>
      <w:lvlJc w:val="left"/>
      <w:pPr>
        <w:ind w:left="2160" w:hanging="360"/>
      </w:pPr>
      <w:rPr>
        <w:rFonts w:ascii="Wingdings" w:hAnsi="Wingdings" w:hint="default"/>
      </w:rPr>
    </w:lvl>
    <w:lvl w:ilvl="3" w:tplc="974CD97A" w:tentative="1">
      <w:start w:val="1"/>
      <w:numFmt w:val="bullet"/>
      <w:lvlText w:val=""/>
      <w:lvlJc w:val="left"/>
      <w:pPr>
        <w:ind w:left="2880" w:hanging="360"/>
      </w:pPr>
      <w:rPr>
        <w:rFonts w:ascii="Symbol" w:hAnsi="Symbol" w:hint="default"/>
      </w:rPr>
    </w:lvl>
    <w:lvl w:ilvl="4" w:tplc="97B6C59C" w:tentative="1">
      <w:start w:val="1"/>
      <w:numFmt w:val="bullet"/>
      <w:lvlText w:val="o"/>
      <w:lvlJc w:val="left"/>
      <w:pPr>
        <w:ind w:left="3600" w:hanging="360"/>
      </w:pPr>
      <w:rPr>
        <w:rFonts w:ascii="Courier New" w:hAnsi="Courier New" w:cs="Courier New" w:hint="default"/>
      </w:rPr>
    </w:lvl>
    <w:lvl w:ilvl="5" w:tplc="7A94240C" w:tentative="1">
      <w:start w:val="1"/>
      <w:numFmt w:val="bullet"/>
      <w:lvlText w:val=""/>
      <w:lvlJc w:val="left"/>
      <w:pPr>
        <w:ind w:left="4320" w:hanging="360"/>
      </w:pPr>
      <w:rPr>
        <w:rFonts w:ascii="Wingdings" w:hAnsi="Wingdings" w:hint="default"/>
      </w:rPr>
    </w:lvl>
    <w:lvl w:ilvl="6" w:tplc="5E2E9066" w:tentative="1">
      <w:start w:val="1"/>
      <w:numFmt w:val="bullet"/>
      <w:lvlText w:val=""/>
      <w:lvlJc w:val="left"/>
      <w:pPr>
        <w:ind w:left="5040" w:hanging="360"/>
      </w:pPr>
      <w:rPr>
        <w:rFonts w:ascii="Symbol" w:hAnsi="Symbol" w:hint="default"/>
      </w:rPr>
    </w:lvl>
    <w:lvl w:ilvl="7" w:tplc="46DE1EE0" w:tentative="1">
      <w:start w:val="1"/>
      <w:numFmt w:val="bullet"/>
      <w:lvlText w:val="o"/>
      <w:lvlJc w:val="left"/>
      <w:pPr>
        <w:ind w:left="5760" w:hanging="360"/>
      </w:pPr>
      <w:rPr>
        <w:rFonts w:ascii="Courier New" w:hAnsi="Courier New" w:cs="Courier New" w:hint="default"/>
      </w:rPr>
    </w:lvl>
    <w:lvl w:ilvl="8" w:tplc="01683E4E" w:tentative="1">
      <w:start w:val="1"/>
      <w:numFmt w:val="bullet"/>
      <w:lvlText w:val=""/>
      <w:lvlJc w:val="left"/>
      <w:pPr>
        <w:ind w:left="6480" w:hanging="360"/>
      </w:pPr>
      <w:rPr>
        <w:rFonts w:ascii="Wingdings" w:hAnsi="Wingdings" w:hint="default"/>
      </w:rPr>
    </w:lvl>
  </w:abstractNum>
  <w:num w:numId="1" w16cid:durableId="380985694">
    <w:abstractNumId w:val="4"/>
  </w:num>
  <w:num w:numId="2" w16cid:durableId="308095884">
    <w:abstractNumId w:val="1"/>
  </w:num>
  <w:num w:numId="3" w16cid:durableId="918709379">
    <w:abstractNumId w:val="2"/>
  </w:num>
  <w:num w:numId="4" w16cid:durableId="644817395">
    <w:abstractNumId w:val="3"/>
  </w:num>
  <w:num w:numId="5" w16cid:durableId="1979409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AE"/>
    <w:rsid w:val="00000A70"/>
    <w:rsid w:val="00000F38"/>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BF0"/>
    <w:rsid w:val="00027E81"/>
    <w:rsid w:val="00030AD8"/>
    <w:rsid w:val="0003107A"/>
    <w:rsid w:val="00031C95"/>
    <w:rsid w:val="000330D4"/>
    <w:rsid w:val="00033335"/>
    <w:rsid w:val="0003572D"/>
    <w:rsid w:val="00035DB0"/>
    <w:rsid w:val="00037088"/>
    <w:rsid w:val="000400D5"/>
    <w:rsid w:val="00043B84"/>
    <w:rsid w:val="00044276"/>
    <w:rsid w:val="0004512B"/>
    <w:rsid w:val="000463F0"/>
    <w:rsid w:val="00046BDA"/>
    <w:rsid w:val="0004762E"/>
    <w:rsid w:val="000532BD"/>
    <w:rsid w:val="000555E0"/>
    <w:rsid w:val="00055C12"/>
    <w:rsid w:val="000608B0"/>
    <w:rsid w:val="0006104C"/>
    <w:rsid w:val="00064BF2"/>
    <w:rsid w:val="000667BA"/>
    <w:rsid w:val="000676A7"/>
    <w:rsid w:val="0007243F"/>
    <w:rsid w:val="00073914"/>
    <w:rsid w:val="00074236"/>
    <w:rsid w:val="000746BD"/>
    <w:rsid w:val="00076D7D"/>
    <w:rsid w:val="00080D95"/>
    <w:rsid w:val="00090E6B"/>
    <w:rsid w:val="00091B2C"/>
    <w:rsid w:val="00092ABC"/>
    <w:rsid w:val="00094DAE"/>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1DD5"/>
    <w:rsid w:val="000F2A7F"/>
    <w:rsid w:val="000F3DBD"/>
    <w:rsid w:val="000F5843"/>
    <w:rsid w:val="000F6A06"/>
    <w:rsid w:val="00101159"/>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6CD"/>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3CB"/>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614"/>
    <w:rsid w:val="001B053A"/>
    <w:rsid w:val="001B26D8"/>
    <w:rsid w:val="001B3BFA"/>
    <w:rsid w:val="001B6DB5"/>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16ED"/>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3723"/>
    <w:rsid w:val="0024691D"/>
    <w:rsid w:val="00247D27"/>
    <w:rsid w:val="0025063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19E4"/>
    <w:rsid w:val="002874E3"/>
    <w:rsid w:val="00287656"/>
    <w:rsid w:val="00291518"/>
    <w:rsid w:val="00296FF0"/>
    <w:rsid w:val="002A17C0"/>
    <w:rsid w:val="002A48DF"/>
    <w:rsid w:val="002A516D"/>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115"/>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FBE"/>
    <w:rsid w:val="00447018"/>
    <w:rsid w:val="00450561"/>
    <w:rsid w:val="00450A40"/>
    <w:rsid w:val="00451D7C"/>
    <w:rsid w:val="00452FC3"/>
    <w:rsid w:val="00454715"/>
    <w:rsid w:val="00455936"/>
    <w:rsid w:val="00455ACE"/>
    <w:rsid w:val="0046085F"/>
    <w:rsid w:val="00461B69"/>
    <w:rsid w:val="00462B3D"/>
    <w:rsid w:val="00474927"/>
    <w:rsid w:val="00475913"/>
    <w:rsid w:val="00480080"/>
    <w:rsid w:val="004824A7"/>
    <w:rsid w:val="00483AF0"/>
    <w:rsid w:val="00484167"/>
    <w:rsid w:val="00492211"/>
    <w:rsid w:val="00492325"/>
    <w:rsid w:val="00492A6D"/>
    <w:rsid w:val="00494303"/>
    <w:rsid w:val="00494855"/>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4A9E"/>
    <w:rsid w:val="00515466"/>
    <w:rsid w:val="005154F7"/>
    <w:rsid w:val="005159DE"/>
    <w:rsid w:val="00526822"/>
    <w:rsid w:val="005269CE"/>
    <w:rsid w:val="005304B2"/>
    <w:rsid w:val="005336BD"/>
    <w:rsid w:val="00534A49"/>
    <w:rsid w:val="005363BB"/>
    <w:rsid w:val="00541B98"/>
    <w:rsid w:val="00543374"/>
    <w:rsid w:val="005453A6"/>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2217"/>
    <w:rsid w:val="005F4862"/>
    <w:rsid w:val="005F5679"/>
    <w:rsid w:val="005F5FDF"/>
    <w:rsid w:val="005F6960"/>
    <w:rsid w:val="005F7000"/>
    <w:rsid w:val="005F7AAA"/>
    <w:rsid w:val="00600BAA"/>
    <w:rsid w:val="006012DA"/>
    <w:rsid w:val="00603B0F"/>
    <w:rsid w:val="006049F5"/>
    <w:rsid w:val="00605F7B"/>
    <w:rsid w:val="0060756A"/>
    <w:rsid w:val="00607E64"/>
    <w:rsid w:val="006106E9"/>
    <w:rsid w:val="0061159E"/>
    <w:rsid w:val="00614633"/>
    <w:rsid w:val="00614BC8"/>
    <w:rsid w:val="006151FB"/>
    <w:rsid w:val="006156E5"/>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29DD"/>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58F"/>
    <w:rsid w:val="006979F8"/>
    <w:rsid w:val="006A3487"/>
    <w:rsid w:val="006A3BFC"/>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256"/>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E80"/>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60DA"/>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CDE"/>
    <w:rsid w:val="00890B59"/>
    <w:rsid w:val="008930D7"/>
    <w:rsid w:val="008947A7"/>
    <w:rsid w:val="00897E80"/>
    <w:rsid w:val="008A04FA"/>
    <w:rsid w:val="008A3188"/>
    <w:rsid w:val="008A36F9"/>
    <w:rsid w:val="008A3FDF"/>
    <w:rsid w:val="008A6418"/>
    <w:rsid w:val="008B05D8"/>
    <w:rsid w:val="008B0B3D"/>
    <w:rsid w:val="008B1FFE"/>
    <w:rsid w:val="008B2B1A"/>
    <w:rsid w:val="008B3428"/>
    <w:rsid w:val="008B4A91"/>
    <w:rsid w:val="008B7785"/>
    <w:rsid w:val="008B79F2"/>
    <w:rsid w:val="008C0809"/>
    <w:rsid w:val="008C132C"/>
    <w:rsid w:val="008C3FD0"/>
    <w:rsid w:val="008D27A5"/>
    <w:rsid w:val="008D2AAB"/>
    <w:rsid w:val="008D309C"/>
    <w:rsid w:val="008D58F9"/>
    <w:rsid w:val="008D7427"/>
    <w:rsid w:val="008E1246"/>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9CD"/>
    <w:rsid w:val="00924D2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24"/>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AF6"/>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328F"/>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7F8"/>
    <w:rsid w:val="00A93934"/>
    <w:rsid w:val="00A95D51"/>
    <w:rsid w:val="00AA18AE"/>
    <w:rsid w:val="00AA228B"/>
    <w:rsid w:val="00AA23D8"/>
    <w:rsid w:val="00AA597A"/>
    <w:rsid w:val="00AA66AD"/>
    <w:rsid w:val="00AA67A3"/>
    <w:rsid w:val="00AA7E52"/>
    <w:rsid w:val="00AB1655"/>
    <w:rsid w:val="00AB1873"/>
    <w:rsid w:val="00AB2C05"/>
    <w:rsid w:val="00AB3536"/>
    <w:rsid w:val="00AB474B"/>
    <w:rsid w:val="00AB5CCC"/>
    <w:rsid w:val="00AB74E2"/>
    <w:rsid w:val="00AC0374"/>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2922"/>
    <w:rsid w:val="00AF48B4"/>
    <w:rsid w:val="00AF4923"/>
    <w:rsid w:val="00AF5DE8"/>
    <w:rsid w:val="00AF7C74"/>
    <w:rsid w:val="00B000AF"/>
    <w:rsid w:val="00B04E79"/>
    <w:rsid w:val="00B07488"/>
    <w:rsid w:val="00B075A2"/>
    <w:rsid w:val="00B10DD2"/>
    <w:rsid w:val="00B115DC"/>
    <w:rsid w:val="00B11952"/>
    <w:rsid w:val="00B149AC"/>
    <w:rsid w:val="00B14BD2"/>
    <w:rsid w:val="00B1557F"/>
    <w:rsid w:val="00B15851"/>
    <w:rsid w:val="00B1668D"/>
    <w:rsid w:val="00B17981"/>
    <w:rsid w:val="00B233BB"/>
    <w:rsid w:val="00B25612"/>
    <w:rsid w:val="00B26437"/>
    <w:rsid w:val="00B2678E"/>
    <w:rsid w:val="00B30647"/>
    <w:rsid w:val="00B31EA2"/>
    <w:rsid w:val="00B31F0E"/>
    <w:rsid w:val="00B328F3"/>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2021"/>
    <w:rsid w:val="00B73BB4"/>
    <w:rsid w:val="00B80532"/>
    <w:rsid w:val="00B82039"/>
    <w:rsid w:val="00B82454"/>
    <w:rsid w:val="00B90097"/>
    <w:rsid w:val="00B90999"/>
    <w:rsid w:val="00B91AD7"/>
    <w:rsid w:val="00B92D23"/>
    <w:rsid w:val="00B95BC8"/>
    <w:rsid w:val="00B96E87"/>
    <w:rsid w:val="00BA146A"/>
    <w:rsid w:val="00BA1581"/>
    <w:rsid w:val="00BA32EE"/>
    <w:rsid w:val="00BB5B36"/>
    <w:rsid w:val="00BC027B"/>
    <w:rsid w:val="00BC30A6"/>
    <w:rsid w:val="00BC3ED3"/>
    <w:rsid w:val="00BC3EF6"/>
    <w:rsid w:val="00BC4E34"/>
    <w:rsid w:val="00BC51D0"/>
    <w:rsid w:val="00BC5633"/>
    <w:rsid w:val="00BC58E1"/>
    <w:rsid w:val="00BC59CA"/>
    <w:rsid w:val="00BC6462"/>
    <w:rsid w:val="00BD0A32"/>
    <w:rsid w:val="00BD36AD"/>
    <w:rsid w:val="00BD4E55"/>
    <w:rsid w:val="00BD50A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17500"/>
    <w:rsid w:val="00C2142B"/>
    <w:rsid w:val="00C22987"/>
    <w:rsid w:val="00C23956"/>
    <w:rsid w:val="00C248E6"/>
    <w:rsid w:val="00C257F2"/>
    <w:rsid w:val="00C2766F"/>
    <w:rsid w:val="00C3223B"/>
    <w:rsid w:val="00C3239E"/>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3599"/>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861"/>
    <w:rsid w:val="00CA7D7B"/>
    <w:rsid w:val="00CB0131"/>
    <w:rsid w:val="00CB0AE4"/>
    <w:rsid w:val="00CB0C21"/>
    <w:rsid w:val="00CB0D1A"/>
    <w:rsid w:val="00CB3627"/>
    <w:rsid w:val="00CB4B4B"/>
    <w:rsid w:val="00CB4B73"/>
    <w:rsid w:val="00CB6B06"/>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2882"/>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673E"/>
    <w:rsid w:val="00D6131A"/>
    <w:rsid w:val="00D61611"/>
    <w:rsid w:val="00D61784"/>
    <w:rsid w:val="00D6178A"/>
    <w:rsid w:val="00D63B53"/>
    <w:rsid w:val="00D64B88"/>
    <w:rsid w:val="00D64DC5"/>
    <w:rsid w:val="00D66BA6"/>
    <w:rsid w:val="00D700B1"/>
    <w:rsid w:val="00D730FA"/>
    <w:rsid w:val="00D737D1"/>
    <w:rsid w:val="00D76631"/>
    <w:rsid w:val="00D768B7"/>
    <w:rsid w:val="00D77492"/>
    <w:rsid w:val="00D811E8"/>
    <w:rsid w:val="00D81366"/>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56F"/>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3B7"/>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3AC0"/>
    <w:rsid w:val="00EC41B1"/>
    <w:rsid w:val="00ED0665"/>
    <w:rsid w:val="00ED12C0"/>
    <w:rsid w:val="00ED19F0"/>
    <w:rsid w:val="00ED2B50"/>
    <w:rsid w:val="00ED3A32"/>
    <w:rsid w:val="00ED3BDE"/>
    <w:rsid w:val="00ED3F91"/>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7155"/>
    <w:rsid w:val="00F9515C"/>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09EC73-613E-438E-87A0-EB9F1011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E2882"/>
    <w:rPr>
      <w:sz w:val="16"/>
      <w:szCs w:val="16"/>
    </w:rPr>
  </w:style>
  <w:style w:type="paragraph" w:styleId="CommentText">
    <w:name w:val="annotation text"/>
    <w:basedOn w:val="Normal"/>
    <w:link w:val="CommentTextChar"/>
    <w:semiHidden/>
    <w:unhideWhenUsed/>
    <w:rsid w:val="00CE2882"/>
    <w:rPr>
      <w:sz w:val="20"/>
      <w:szCs w:val="20"/>
    </w:rPr>
  </w:style>
  <w:style w:type="character" w:customStyle="1" w:styleId="CommentTextChar">
    <w:name w:val="Comment Text Char"/>
    <w:basedOn w:val="DefaultParagraphFont"/>
    <w:link w:val="CommentText"/>
    <w:semiHidden/>
    <w:rsid w:val="00CE2882"/>
  </w:style>
  <w:style w:type="paragraph" w:styleId="CommentSubject">
    <w:name w:val="annotation subject"/>
    <w:basedOn w:val="CommentText"/>
    <w:next w:val="CommentText"/>
    <w:link w:val="CommentSubjectChar"/>
    <w:semiHidden/>
    <w:unhideWhenUsed/>
    <w:rsid w:val="00CE2882"/>
    <w:rPr>
      <w:b/>
      <w:bCs/>
    </w:rPr>
  </w:style>
  <w:style w:type="character" w:customStyle="1" w:styleId="CommentSubjectChar">
    <w:name w:val="Comment Subject Char"/>
    <w:basedOn w:val="CommentTextChar"/>
    <w:link w:val="CommentSubject"/>
    <w:semiHidden/>
    <w:rsid w:val="00CE2882"/>
    <w:rPr>
      <w:b/>
      <w:bCs/>
    </w:rPr>
  </w:style>
  <w:style w:type="character" w:styleId="Hyperlink">
    <w:name w:val="Hyperlink"/>
    <w:basedOn w:val="DefaultParagraphFont"/>
    <w:unhideWhenUsed/>
    <w:rsid w:val="00CE2882"/>
    <w:rPr>
      <w:color w:val="0000FF" w:themeColor="hyperlink"/>
      <w:u w:val="single"/>
    </w:rPr>
  </w:style>
  <w:style w:type="character" w:customStyle="1" w:styleId="UnresolvedMention1">
    <w:name w:val="Unresolved Mention1"/>
    <w:basedOn w:val="DefaultParagraphFont"/>
    <w:uiPriority w:val="99"/>
    <w:semiHidden/>
    <w:unhideWhenUsed/>
    <w:rsid w:val="00CE2882"/>
    <w:rPr>
      <w:color w:val="605E5C"/>
      <w:shd w:val="clear" w:color="auto" w:fill="E1DFDD"/>
    </w:rPr>
  </w:style>
  <w:style w:type="character" w:styleId="FollowedHyperlink">
    <w:name w:val="FollowedHyperlink"/>
    <w:basedOn w:val="DefaultParagraphFont"/>
    <w:semiHidden/>
    <w:unhideWhenUsed/>
    <w:rsid w:val="002A516D"/>
    <w:rPr>
      <w:color w:val="800080" w:themeColor="followedHyperlink"/>
      <w:u w:val="single"/>
    </w:rPr>
  </w:style>
  <w:style w:type="paragraph" w:styleId="Revision">
    <w:name w:val="Revision"/>
    <w:hidden/>
    <w:uiPriority w:val="99"/>
    <w:semiHidden/>
    <w:rsid w:val="00BA1581"/>
    <w:rPr>
      <w:sz w:val="24"/>
      <w:szCs w:val="24"/>
    </w:rPr>
  </w:style>
  <w:style w:type="paragraph" w:styleId="ListParagraph">
    <w:name w:val="List Paragraph"/>
    <w:basedOn w:val="Normal"/>
    <w:uiPriority w:val="34"/>
    <w:qFormat/>
    <w:rsid w:val="00000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1283</Words>
  <Characters>7241</Characters>
  <Application>Microsoft Office Word</Application>
  <DocSecurity>4</DocSecurity>
  <Lines>140</Lines>
  <Paragraphs>34</Paragraphs>
  <ScaleCrop>false</ScaleCrop>
  <HeadingPairs>
    <vt:vector size="2" baseType="variant">
      <vt:variant>
        <vt:lpstr>Title</vt:lpstr>
      </vt:variant>
      <vt:variant>
        <vt:i4>1</vt:i4>
      </vt:variant>
    </vt:vector>
  </HeadingPairs>
  <TitlesOfParts>
    <vt:vector size="1" baseType="lpstr">
      <vt:lpstr>BA - HB01158 (Committee Report (Substituted))</vt:lpstr>
    </vt:vector>
  </TitlesOfParts>
  <Company>State of Texas</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22892</dc:subject>
  <dc:creator>State of Texas</dc:creator>
  <dc:description>HB 1158 by Darby-(H)Energy Resources (Substitute Document Number: 88R 21597)</dc:description>
  <cp:lastModifiedBy>Stacey Nicchio</cp:lastModifiedBy>
  <cp:revision>2</cp:revision>
  <cp:lastPrinted>2003-11-26T17:21:00Z</cp:lastPrinted>
  <dcterms:created xsi:type="dcterms:W3CDTF">2023-04-19T23:14:00Z</dcterms:created>
  <dcterms:modified xsi:type="dcterms:W3CDTF">2023-04-19T23:14:00Z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23.101.863</vt:lpwstr>
  </property>
</Properties>
</file>