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B493E" w14:paraId="1D0E754E" w14:textId="77777777" w:rsidTr="00345119">
        <w:tc>
          <w:tcPr>
            <w:tcW w:w="9576" w:type="dxa"/>
            <w:noWrap/>
          </w:tcPr>
          <w:p w14:paraId="3BC559AF" w14:textId="77777777" w:rsidR="008423E4" w:rsidRPr="0022177D" w:rsidRDefault="0028425F" w:rsidP="008677E2">
            <w:pPr>
              <w:pStyle w:val="Heading1"/>
            </w:pPr>
            <w:r w:rsidRPr="00631897">
              <w:t>BILL ANALYSIS</w:t>
            </w:r>
          </w:p>
        </w:tc>
      </w:tr>
    </w:tbl>
    <w:p w14:paraId="4EB6E5EF" w14:textId="77777777" w:rsidR="008423E4" w:rsidRPr="0022177D" w:rsidRDefault="008423E4" w:rsidP="008677E2">
      <w:pPr>
        <w:jc w:val="center"/>
      </w:pPr>
    </w:p>
    <w:p w14:paraId="599FEF4B" w14:textId="77777777" w:rsidR="008423E4" w:rsidRPr="00B31F0E" w:rsidRDefault="008423E4" w:rsidP="008677E2"/>
    <w:p w14:paraId="67ABF88B" w14:textId="77777777" w:rsidR="008423E4" w:rsidRPr="00742794" w:rsidRDefault="008423E4" w:rsidP="008677E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B493E" w14:paraId="5F216B0B" w14:textId="77777777" w:rsidTr="00345119">
        <w:tc>
          <w:tcPr>
            <w:tcW w:w="9576" w:type="dxa"/>
          </w:tcPr>
          <w:p w14:paraId="4B6AE6B4" w14:textId="755691B4" w:rsidR="008423E4" w:rsidRPr="00861995" w:rsidRDefault="0028425F" w:rsidP="008677E2">
            <w:pPr>
              <w:jc w:val="right"/>
            </w:pPr>
            <w:r>
              <w:t>C.S.H.B. 1192</w:t>
            </w:r>
          </w:p>
        </w:tc>
      </w:tr>
      <w:tr w:rsidR="008B493E" w14:paraId="4BDFA2E0" w14:textId="77777777" w:rsidTr="00345119">
        <w:tc>
          <w:tcPr>
            <w:tcW w:w="9576" w:type="dxa"/>
          </w:tcPr>
          <w:p w14:paraId="2014752B" w14:textId="58D2C9AD" w:rsidR="008423E4" w:rsidRPr="00861995" w:rsidRDefault="0028425F" w:rsidP="008677E2">
            <w:pPr>
              <w:jc w:val="right"/>
            </w:pPr>
            <w:r>
              <w:t xml:space="preserve">By: </w:t>
            </w:r>
            <w:r w:rsidR="0096743D">
              <w:t>Turner</w:t>
            </w:r>
          </w:p>
        </w:tc>
      </w:tr>
      <w:tr w:rsidR="008B493E" w14:paraId="69E1A234" w14:textId="77777777" w:rsidTr="00345119">
        <w:tc>
          <w:tcPr>
            <w:tcW w:w="9576" w:type="dxa"/>
          </w:tcPr>
          <w:p w14:paraId="5D784450" w14:textId="36B8E860" w:rsidR="008423E4" w:rsidRPr="00861995" w:rsidRDefault="0028425F" w:rsidP="008677E2">
            <w:pPr>
              <w:jc w:val="right"/>
            </w:pPr>
            <w:r>
              <w:t>Higher Education</w:t>
            </w:r>
          </w:p>
        </w:tc>
      </w:tr>
      <w:tr w:rsidR="008B493E" w14:paraId="185ACB3E" w14:textId="77777777" w:rsidTr="00345119">
        <w:tc>
          <w:tcPr>
            <w:tcW w:w="9576" w:type="dxa"/>
          </w:tcPr>
          <w:p w14:paraId="1018895F" w14:textId="40439FB2" w:rsidR="008423E4" w:rsidRDefault="0028425F" w:rsidP="008677E2">
            <w:pPr>
              <w:jc w:val="right"/>
            </w:pPr>
            <w:r>
              <w:t>Committee Report (Substituted)</w:t>
            </w:r>
          </w:p>
        </w:tc>
      </w:tr>
    </w:tbl>
    <w:p w14:paraId="6E33D92B" w14:textId="77777777" w:rsidR="008423E4" w:rsidRDefault="008423E4" w:rsidP="008677E2">
      <w:pPr>
        <w:tabs>
          <w:tab w:val="right" w:pos="9360"/>
        </w:tabs>
      </w:pPr>
    </w:p>
    <w:p w14:paraId="096878EB" w14:textId="77777777" w:rsidR="008423E4" w:rsidRDefault="008423E4" w:rsidP="008677E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B493E" w14:paraId="2B542F4F" w14:textId="77777777" w:rsidTr="000F2955">
        <w:tc>
          <w:tcPr>
            <w:tcW w:w="9360" w:type="dxa"/>
          </w:tcPr>
          <w:p w14:paraId="2265C239" w14:textId="620F0777" w:rsidR="008423E4" w:rsidRDefault="0028425F" w:rsidP="00E954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9E392B" w14:textId="77777777" w:rsidR="00E954D4" w:rsidRPr="000F2955" w:rsidRDefault="00E954D4" w:rsidP="00E954D4">
            <w:pPr>
              <w:rPr>
                <w:b/>
              </w:rPr>
            </w:pPr>
          </w:p>
          <w:p w14:paraId="1F1CBC58" w14:textId="4C55536F" w:rsidR="0035019B" w:rsidRDefault="0028425F" w:rsidP="00E954D4">
            <w:pPr>
              <w:pStyle w:val="Header"/>
              <w:jc w:val="both"/>
            </w:pPr>
            <w:r w:rsidRPr="0035019B">
              <w:t>Currently</w:t>
            </w:r>
            <w:r w:rsidR="00B53300">
              <w:t>,</w:t>
            </w:r>
            <w:r w:rsidRPr="0035019B">
              <w:t xml:space="preserve"> a student must complete four years of ROTC training to be eligible for the Texas </w:t>
            </w:r>
            <w:r w:rsidR="00224F10">
              <w:t>a</w:t>
            </w:r>
            <w:r w:rsidRPr="0035019B">
              <w:t xml:space="preserve">rmed </w:t>
            </w:r>
            <w:r w:rsidR="00224F10">
              <w:t>s</w:t>
            </w:r>
            <w:r w:rsidRPr="0035019B">
              <w:t xml:space="preserve">ervices </w:t>
            </w:r>
            <w:r w:rsidR="00224F10">
              <w:t>s</w:t>
            </w:r>
            <w:r w:rsidRPr="0035019B">
              <w:t xml:space="preserve">cholarship. </w:t>
            </w:r>
            <w:r w:rsidR="006E3DAD">
              <w:t>However, t</w:t>
            </w:r>
            <w:r w:rsidRPr="0035019B">
              <w:t xml:space="preserve">his four-year requirement </w:t>
            </w:r>
            <w:r w:rsidR="006E3DAD">
              <w:t xml:space="preserve">either </w:t>
            </w:r>
            <w:r w:rsidRPr="0035019B">
              <w:t>excludes students who are eligible to graduate in less than four years or requires them to stay in scho</w:t>
            </w:r>
            <w:r w:rsidRPr="0035019B">
              <w:t>ol longer than necessary.</w:t>
            </w:r>
            <w:r>
              <w:t xml:space="preserve"> </w:t>
            </w:r>
            <w:r w:rsidR="006E3DAD">
              <w:t>C.S.</w:t>
            </w:r>
            <w:r w:rsidRPr="0035019B">
              <w:t>H</w:t>
            </w:r>
            <w:r w:rsidR="006E3DAD">
              <w:t>.</w:t>
            </w:r>
            <w:r w:rsidRPr="0035019B">
              <w:t>B</w:t>
            </w:r>
            <w:r w:rsidR="006E3DAD">
              <w:t>.</w:t>
            </w:r>
            <w:r w:rsidRPr="0035019B">
              <w:t xml:space="preserve"> 1192 seeks to amend</w:t>
            </w:r>
            <w:r w:rsidR="00224F10">
              <w:t xml:space="preserve"> the scholarship</w:t>
            </w:r>
            <w:r w:rsidRPr="0035019B">
              <w:t xml:space="preserve"> requirements to prevent exclu</w:t>
            </w:r>
            <w:r w:rsidR="00B53300">
              <w:t>s</w:t>
            </w:r>
            <w:r w:rsidRPr="0035019B">
              <w:t>i</w:t>
            </w:r>
            <w:r w:rsidR="006E3DAD">
              <w:t>on of</w:t>
            </w:r>
            <w:r w:rsidRPr="0035019B">
              <w:t xml:space="preserve"> students who are eligible to graduate in less than four years</w:t>
            </w:r>
            <w:r w:rsidR="006E3DAD">
              <w:t xml:space="preserve"> by providing for </w:t>
            </w:r>
            <w:r w:rsidR="00B53300">
              <w:t xml:space="preserve">a </w:t>
            </w:r>
            <w:r>
              <w:t>student</w:t>
            </w:r>
            <w:r w:rsidR="00A96482">
              <w:t>'s</w:t>
            </w:r>
            <w:r>
              <w:t xml:space="preserve"> complet</w:t>
            </w:r>
            <w:r w:rsidR="00A96482">
              <w:t>ion of</w:t>
            </w:r>
            <w:r>
              <w:t xml:space="preserve"> one year of ROTC training for every year th</w:t>
            </w:r>
            <w:r>
              <w:t xml:space="preserve">ey receive the scholarship. </w:t>
            </w:r>
            <w:r w:rsidR="006E3DAD">
              <w:t>The bill</w:t>
            </w:r>
            <w:r>
              <w:t xml:space="preserve"> also requires </w:t>
            </w:r>
            <w:r w:rsidR="006E3DAD">
              <w:t>t</w:t>
            </w:r>
            <w:r>
              <w:t xml:space="preserve">he </w:t>
            </w:r>
            <w:r w:rsidR="006E3DAD">
              <w:t xml:space="preserve">Texas </w:t>
            </w:r>
            <w:r>
              <w:t xml:space="preserve">Higher Education Coordinating Board to </w:t>
            </w:r>
            <w:r w:rsidR="00CC4B9C">
              <w:t xml:space="preserve">post online and </w:t>
            </w:r>
            <w:r w:rsidR="006E3DAD">
              <w:t xml:space="preserve">provide </w:t>
            </w:r>
            <w:r w:rsidR="00CC4B9C">
              <w:t xml:space="preserve">to students </w:t>
            </w:r>
            <w:r>
              <w:t xml:space="preserve">information on ROTC service requirements for </w:t>
            </w:r>
            <w:r w:rsidR="00235734">
              <w:t>branches of the U.S. military forces</w:t>
            </w:r>
            <w:r>
              <w:t xml:space="preserve">. </w:t>
            </w:r>
          </w:p>
          <w:p w14:paraId="7D2C660E" w14:textId="2EFD995D" w:rsidR="008423E4" w:rsidRPr="000F2955" w:rsidRDefault="008423E4" w:rsidP="00E95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8B493E" w14:paraId="156A523E" w14:textId="77777777" w:rsidTr="000F2955">
        <w:tc>
          <w:tcPr>
            <w:tcW w:w="9360" w:type="dxa"/>
          </w:tcPr>
          <w:p w14:paraId="55930A04" w14:textId="2D499FDD" w:rsidR="0017725B" w:rsidRDefault="0028425F" w:rsidP="00E954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86ADB5" w14:textId="77777777" w:rsidR="00E954D4" w:rsidRDefault="00E954D4" w:rsidP="00E954D4">
            <w:pPr>
              <w:rPr>
                <w:b/>
                <w:u w:val="single"/>
              </w:rPr>
            </w:pPr>
          </w:p>
          <w:p w14:paraId="6427EA5E" w14:textId="77777777" w:rsidR="0017725B" w:rsidRDefault="0028425F" w:rsidP="00E954D4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25E9CD00" w14:textId="1B4C961F" w:rsidR="00E954D4" w:rsidRPr="000F2955" w:rsidRDefault="00E954D4" w:rsidP="00E954D4">
            <w:pPr>
              <w:jc w:val="both"/>
            </w:pPr>
          </w:p>
        </w:tc>
      </w:tr>
      <w:tr w:rsidR="008B493E" w14:paraId="679072CB" w14:textId="77777777" w:rsidTr="000F2955">
        <w:tc>
          <w:tcPr>
            <w:tcW w:w="9360" w:type="dxa"/>
          </w:tcPr>
          <w:p w14:paraId="34AE038F" w14:textId="55C30372" w:rsidR="008423E4" w:rsidRDefault="0028425F" w:rsidP="00E954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5680EA5" w14:textId="77777777" w:rsidR="00E954D4" w:rsidRPr="000F2955" w:rsidRDefault="00E954D4" w:rsidP="00E954D4">
            <w:pPr>
              <w:rPr>
                <w:b/>
              </w:rPr>
            </w:pPr>
          </w:p>
          <w:p w14:paraId="26B90FA0" w14:textId="77777777" w:rsidR="008423E4" w:rsidRDefault="0028425F" w:rsidP="00E95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CCFB647" w14:textId="6A570072" w:rsidR="00E954D4" w:rsidRPr="000F2955" w:rsidRDefault="00E954D4" w:rsidP="00E95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8B493E" w14:paraId="72C11CCE" w14:textId="77777777" w:rsidTr="000F2955">
        <w:tc>
          <w:tcPr>
            <w:tcW w:w="9360" w:type="dxa"/>
          </w:tcPr>
          <w:p w14:paraId="6D3BEAA8" w14:textId="7406AECC" w:rsidR="008423E4" w:rsidRDefault="0028425F" w:rsidP="00E954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F6CC6AA" w14:textId="77777777" w:rsidR="00E954D4" w:rsidRPr="000F2955" w:rsidRDefault="00E954D4" w:rsidP="00E954D4">
            <w:pPr>
              <w:rPr>
                <w:b/>
              </w:rPr>
            </w:pPr>
          </w:p>
          <w:p w14:paraId="4D81716A" w14:textId="29BC730A" w:rsidR="006451F1" w:rsidRDefault="0028425F" w:rsidP="00E95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53BA6">
              <w:t xml:space="preserve">H.B. </w:t>
            </w:r>
            <w:r w:rsidR="002B3528">
              <w:t xml:space="preserve">1192 </w:t>
            </w:r>
            <w:r w:rsidR="00F53BA6">
              <w:t xml:space="preserve">amends the Education Code to </w:t>
            </w:r>
            <w:r w:rsidR="00B64BC3">
              <w:t xml:space="preserve">revise </w:t>
            </w:r>
            <w:r w:rsidR="00F56D33">
              <w:t xml:space="preserve">the </w:t>
            </w:r>
            <w:r w:rsidR="004402DD">
              <w:t>required terms of agreement</w:t>
            </w:r>
            <w:r w:rsidR="00F56D33">
              <w:t xml:space="preserve"> for </w:t>
            </w:r>
            <w:r w:rsidR="00AA38B2">
              <w:t xml:space="preserve">a recipient of </w:t>
            </w:r>
            <w:r w:rsidR="007C46A8">
              <w:t>the</w:t>
            </w:r>
            <w:r w:rsidR="00F56D33">
              <w:t xml:space="preserve"> Texas </w:t>
            </w:r>
            <w:r w:rsidR="005B6545">
              <w:t>a</w:t>
            </w:r>
            <w:r w:rsidR="00F56D33">
              <w:t xml:space="preserve">rmed </w:t>
            </w:r>
            <w:r w:rsidR="005B6545">
              <w:t>s</w:t>
            </w:r>
            <w:r w:rsidR="00F56D33">
              <w:t xml:space="preserve">ervices </w:t>
            </w:r>
            <w:r w:rsidR="005B6545">
              <w:t>s</w:t>
            </w:r>
            <w:r w:rsidR="00F56D33">
              <w:t>cholarship</w:t>
            </w:r>
            <w:r w:rsidR="00AA38B2">
              <w:t>, if that</w:t>
            </w:r>
            <w:r w:rsidR="00E06ECB">
              <w:t xml:space="preserve"> agreement involves</w:t>
            </w:r>
            <w:r>
              <w:t xml:space="preserve"> the option to complete specified ROTC training, by replacing </w:t>
            </w:r>
            <w:r w:rsidR="00522297">
              <w:t xml:space="preserve">the </w:t>
            </w:r>
            <w:r>
              <w:t>requirement</w:t>
            </w:r>
            <w:r w:rsidR="00F56D33">
              <w:t xml:space="preserve"> that the student </w:t>
            </w:r>
            <w:r w:rsidR="00B64BC3">
              <w:t xml:space="preserve">complete four years of ROTC training </w:t>
            </w:r>
            <w:r>
              <w:t>with a requirement that</w:t>
            </w:r>
            <w:r w:rsidR="00B64BC3">
              <w:t xml:space="preserve"> the student complete one year of ROT</w:t>
            </w:r>
            <w:r w:rsidR="004402DD">
              <w:t>C</w:t>
            </w:r>
            <w:r w:rsidR="00B64BC3">
              <w:t xml:space="preserve"> training for each year</w:t>
            </w:r>
            <w:r w:rsidR="0096743D">
              <w:t xml:space="preserve"> that the student receives the scholarship</w:t>
            </w:r>
            <w:r w:rsidR="00B64BC3">
              <w:t xml:space="preserve">. </w:t>
            </w:r>
          </w:p>
          <w:p w14:paraId="06008607" w14:textId="77777777" w:rsidR="006451F1" w:rsidRDefault="006451F1" w:rsidP="00E95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4D70BEE" w14:textId="18017A7A" w:rsidR="005B6545" w:rsidRDefault="0028425F" w:rsidP="00E95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451F1">
              <w:t xml:space="preserve">H.B. </w:t>
            </w:r>
            <w:r w:rsidR="002B3528">
              <w:t xml:space="preserve">1192 </w:t>
            </w:r>
            <w:r w:rsidR="00B64BC3">
              <w:t>requires the T</w:t>
            </w:r>
            <w:r w:rsidR="00E377C6">
              <w:t xml:space="preserve">exas </w:t>
            </w:r>
            <w:r w:rsidR="00B64BC3">
              <w:t>H</w:t>
            </w:r>
            <w:r w:rsidR="00E377C6">
              <w:t xml:space="preserve">igher </w:t>
            </w:r>
            <w:r w:rsidR="00B64BC3">
              <w:t>E</w:t>
            </w:r>
            <w:r w:rsidR="00E377C6">
              <w:t xml:space="preserve">ducation </w:t>
            </w:r>
            <w:r w:rsidR="00B64BC3">
              <w:t>C</w:t>
            </w:r>
            <w:r w:rsidR="00E377C6">
              <w:t xml:space="preserve">oordinating </w:t>
            </w:r>
            <w:r w:rsidR="00B64BC3">
              <w:t>B</w:t>
            </w:r>
            <w:r w:rsidR="00E377C6">
              <w:t xml:space="preserve">oard </w:t>
            </w:r>
            <w:r w:rsidR="00B64BC3">
              <w:t xml:space="preserve">to post on </w:t>
            </w:r>
            <w:r w:rsidR="00522297">
              <w:t>its</w:t>
            </w:r>
            <w:r w:rsidR="00B64BC3">
              <w:t xml:space="preserve"> website and provide to each student</w:t>
            </w:r>
            <w:r w:rsidR="006451F1">
              <w:t>,</w:t>
            </w:r>
            <w:r w:rsidR="00B64BC3">
              <w:t xml:space="preserve"> before the student enters in</w:t>
            </w:r>
            <w:r>
              <w:t>to</w:t>
            </w:r>
            <w:r w:rsidR="00B64BC3">
              <w:t xml:space="preserve"> </w:t>
            </w:r>
            <w:r>
              <w:t xml:space="preserve">such </w:t>
            </w:r>
            <w:r w:rsidR="00B64BC3">
              <w:t>an agreement</w:t>
            </w:r>
            <w:r w:rsidR="006451F1">
              <w:t>,</w:t>
            </w:r>
            <w:r w:rsidR="00B64BC3">
              <w:t xml:space="preserve"> </w:t>
            </w:r>
            <w:r>
              <w:t xml:space="preserve">information regarding the number of years of ROTC training that the Texas Army National Guard, Texas Air National Guard, Texas State Guard, </w:t>
            </w:r>
            <w:r w:rsidR="003A17A1">
              <w:t xml:space="preserve">U.S. Merchant Marine, </w:t>
            </w:r>
            <w:r>
              <w:t>U</w:t>
            </w:r>
            <w:r w:rsidR="006451F1">
              <w:t>.</w:t>
            </w:r>
            <w:r>
              <w:t>S</w:t>
            </w:r>
            <w:r w:rsidR="006451F1">
              <w:t>.</w:t>
            </w:r>
            <w:r>
              <w:t xml:space="preserve"> C</w:t>
            </w:r>
            <w:r>
              <w:t xml:space="preserve">oast Guard, </w:t>
            </w:r>
            <w:r w:rsidR="003A17A1">
              <w:t>and other</w:t>
            </w:r>
            <w:r w:rsidR="006451F1">
              <w:t xml:space="preserve"> branch</w:t>
            </w:r>
            <w:r w:rsidR="003A17A1">
              <w:t>es</w:t>
            </w:r>
            <w:r w:rsidR="006451F1">
              <w:t xml:space="preserve"> of the U</w:t>
            </w:r>
            <w:r w:rsidR="00E377C6">
              <w:t xml:space="preserve">.S. </w:t>
            </w:r>
            <w:r w:rsidR="006451F1">
              <w:t>armed services</w:t>
            </w:r>
            <w:r>
              <w:t xml:space="preserve"> require or recommend before entering into an applicable commitment or contract.</w:t>
            </w:r>
          </w:p>
          <w:p w14:paraId="5F4DC5D5" w14:textId="77777777" w:rsidR="000F2955" w:rsidRDefault="000F2955" w:rsidP="00E95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FD14AD" w14:textId="77777777" w:rsidR="008423E4" w:rsidRDefault="0028425F" w:rsidP="00E95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B6545">
              <w:t xml:space="preserve">H.B. </w:t>
            </w:r>
            <w:r w:rsidR="002B3528">
              <w:t xml:space="preserve">1192 </w:t>
            </w:r>
            <w:r w:rsidR="005B6545">
              <w:t xml:space="preserve">applies beginning with a Texas armed services scholarship awarded for the </w:t>
            </w:r>
            <w:r w:rsidR="002B3528">
              <w:t>2024</w:t>
            </w:r>
            <w:r w:rsidR="00070992">
              <w:noBreakHyphen/>
            </w:r>
            <w:r w:rsidR="002B3528">
              <w:t>2025</w:t>
            </w:r>
            <w:r w:rsidR="005B6545">
              <w:t xml:space="preserve"> academic year. </w:t>
            </w:r>
          </w:p>
          <w:p w14:paraId="21A930C8" w14:textId="24992A6B" w:rsidR="00E954D4" w:rsidRPr="000F2955" w:rsidRDefault="00E954D4" w:rsidP="00E95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8B493E" w14:paraId="29130CBC" w14:textId="77777777" w:rsidTr="000F2955">
        <w:tc>
          <w:tcPr>
            <w:tcW w:w="9360" w:type="dxa"/>
          </w:tcPr>
          <w:p w14:paraId="091076AA" w14:textId="4B0E39A7" w:rsidR="008423E4" w:rsidRDefault="0028425F" w:rsidP="00E954D4">
            <w:pPr>
              <w:rPr>
                <w:b/>
              </w:rPr>
            </w:pPr>
            <w:r w:rsidRPr="009C1E9A">
              <w:rPr>
                <w:b/>
                <w:u w:val="single"/>
              </w:rPr>
              <w:t>E</w:t>
            </w:r>
            <w:r w:rsidRPr="009C1E9A">
              <w:rPr>
                <w:b/>
                <w:u w:val="single"/>
              </w:rPr>
              <w:t>FFECTIVE DATE</w:t>
            </w:r>
            <w:r>
              <w:rPr>
                <w:b/>
              </w:rPr>
              <w:t xml:space="preserve"> </w:t>
            </w:r>
          </w:p>
          <w:p w14:paraId="7BC6A9F6" w14:textId="77777777" w:rsidR="00E954D4" w:rsidRPr="000F2955" w:rsidRDefault="00E954D4" w:rsidP="00E954D4">
            <w:pPr>
              <w:rPr>
                <w:b/>
              </w:rPr>
            </w:pPr>
          </w:p>
          <w:p w14:paraId="57A50A09" w14:textId="690D71A7" w:rsidR="008423E4" w:rsidRPr="003624F2" w:rsidRDefault="0028425F" w:rsidP="00E954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2B3528">
              <w:t>3</w:t>
            </w:r>
            <w:r>
              <w:t>.</w:t>
            </w:r>
          </w:p>
          <w:p w14:paraId="717ED089" w14:textId="77777777" w:rsidR="008423E4" w:rsidRPr="00233FDB" w:rsidRDefault="008423E4" w:rsidP="00E954D4">
            <w:pPr>
              <w:rPr>
                <w:b/>
              </w:rPr>
            </w:pPr>
          </w:p>
        </w:tc>
      </w:tr>
      <w:tr w:rsidR="008B493E" w14:paraId="7AC5FFFB" w14:textId="77777777" w:rsidTr="000F2955">
        <w:tc>
          <w:tcPr>
            <w:tcW w:w="9360" w:type="dxa"/>
          </w:tcPr>
          <w:p w14:paraId="5035D62B" w14:textId="77777777" w:rsidR="00E954D4" w:rsidRDefault="00E954D4" w:rsidP="00E954D4">
            <w:pPr>
              <w:jc w:val="both"/>
              <w:rPr>
                <w:b/>
                <w:u w:val="single"/>
              </w:rPr>
            </w:pPr>
          </w:p>
          <w:p w14:paraId="34A7C175" w14:textId="77777777" w:rsidR="00E954D4" w:rsidRDefault="00E954D4" w:rsidP="00E954D4">
            <w:pPr>
              <w:jc w:val="both"/>
              <w:rPr>
                <w:b/>
                <w:u w:val="single"/>
              </w:rPr>
            </w:pPr>
          </w:p>
          <w:p w14:paraId="29CA1CDF" w14:textId="3C661E5E" w:rsidR="0096743D" w:rsidRDefault="0028425F" w:rsidP="00E954D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F552A85" w14:textId="77777777" w:rsidR="00A94B79" w:rsidRDefault="00A94B79" w:rsidP="00E954D4">
            <w:pPr>
              <w:jc w:val="both"/>
            </w:pPr>
          </w:p>
          <w:p w14:paraId="40555731" w14:textId="79157131" w:rsidR="00A94B79" w:rsidRDefault="0028425F" w:rsidP="00E954D4">
            <w:pPr>
              <w:jc w:val="both"/>
            </w:pPr>
            <w:r>
              <w:t xml:space="preserve">While C.S.H.B. 1192 may differ from the introduced in minor or nonsubstantive ways, the following summarizes the substantial differences between the introduced and </w:t>
            </w:r>
            <w:r>
              <w:t>committee substitute versions of the bill.</w:t>
            </w:r>
          </w:p>
          <w:p w14:paraId="46A45019" w14:textId="28A1AD1E" w:rsidR="00A94B79" w:rsidRDefault="00A94B79" w:rsidP="00E954D4">
            <w:pPr>
              <w:jc w:val="both"/>
            </w:pPr>
          </w:p>
          <w:p w14:paraId="5D7B302A" w14:textId="7F5E050C" w:rsidR="00A94B79" w:rsidRDefault="0028425F" w:rsidP="00E954D4">
            <w:pPr>
              <w:jc w:val="both"/>
            </w:pPr>
            <w:r>
              <w:t xml:space="preserve">Whereas the introduced required </w:t>
            </w:r>
            <w:r w:rsidR="00DD21A4">
              <w:t xml:space="preserve">a student to complete one year of </w:t>
            </w:r>
            <w:r>
              <w:t xml:space="preserve">ROTC </w:t>
            </w:r>
            <w:r w:rsidR="00DD21A4">
              <w:t xml:space="preserve">training for each </w:t>
            </w:r>
            <w:r w:rsidR="008006E1">
              <w:t>y</w:t>
            </w:r>
            <w:r w:rsidR="00DD21A4">
              <w:t>ear that the</w:t>
            </w:r>
            <w:r w:rsidR="008006E1">
              <w:t xml:space="preserve"> student </w:t>
            </w:r>
            <w:r w:rsidR="008006E1" w:rsidRPr="008006E1">
              <w:t>is enrolled in a degree or certificate program at a public or private institution of higher education</w:t>
            </w:r>
            <w:r w:rsidR="00A14F7D">
              <w:t xml:space="preserve"> with</w:t>
            </w:r>
            <w:r w:rsidR="008006E1" w:rsidRPr="008006E1">
              <w:t xml:space="preserve"> up to a maximum requirement of four years of training</w:t>
            </w:r>
            <w:r w:rsidR="008006E1">
              <w:t xml:space="preserve">, </w:t>
            </w:r>
            <w:r>
              <w:t>the substitute</w:t>
            </w:r>
            <w:r w:rsidR="008006E1">
              <w:t xml:space="preserve"> </w:t>
            </w:r>
            <w:r>
              <w:t xml:space="preserve">requires </w:t>
            </w:r>
            <w:r w:rsidR="008006E1">
              <w:t xml:space="preserve">a student to complete one year of training for each year that the student </w:t>
            </w:r>
            <w:r>
              <w:t xml:space="preserve">instead </w:t>
            </w:r>
            <w:r w:rsidR="008006E1">
              <w:t xml:space="preserve">receives the scholarship. </w:t>
            </w:r>
          </w:p>
          <w:p w14:paraId="7BCCCC49" w14:textId="24FEC18D" w:rsidR="00A94B79" w:rsidRPr="00A94B79" w:rsidRDefault="00A94B79" w:rsidP="00E954D4">
            <w:pPr>
              <w:jc w:val="both"/>
            </w:pPr>
          </w:p>
        </w:tc>
      </w:tr>
      <w:tr w:rsidR="008B493E" w14:paraId="7D58BC20" w14:textId="77777777" w:rsidTr="000F2955">
        <w:tc>
          <w:tcPr>
            <w:tcW w:w="9360" w:type="dxa"/>
          </w:tcPr>
          <w:p w14:paraId="217E1783" w14:textId="77777777" w:rsidR="0096743D" w:rsidRPr="00F53BA6" w:rsidRDefault="0096743D" w:rsidP="00E954D4">
            <w:pPr>
              <w:jc w:val="both"/>
            </w:pPr>
          </w:p>
        </w:tc>
      </w:tr>
      <w:tr w:rsidR="008B493E" w14:paraId="0F7A4474" w14:textId="77777777" w:rsidTr="000F2955">
        <w:tc>
          <w:tcPr>
            <w:tcW w:w="9360" w:type="dxa"/>
          </w:tcPr>
          <w:p w14:paraId="466AEFB1" w14:textId="77777777" w:rsidR="0096743D" w:rsidRPr="0096743D" w:rsidRDefault="0096743D" w:rsidP="00E954D4">
            <w:pPr>
              <w:jc w:val="both"/>
            </w:pPr>
          </w:p>
        </w:tc>
      </w:tr>
      <w:tr w:rsidR="008B493E" w14:paraId="6C0CBA24" w14:textId="77777777" w:rsidTr="000F2955">
        <w:tc>
          <w:tcPr>
            <w:tcW w:w="9360" w:type="dxa"/>
          </w:tcPr>
          <w:p w14:paraId="11EDD4E3" w14:textId="77777777" w:rsidR="0096743D" w:rsidRPr="00F53BA6" w:rsidRDefault="0096743D" w:rsidP="00E954D4">
            <w:pPr>
              <w:jc w:val="both"/>
            </w:pPr>
          </w:p>
        </w:tc>
      </w:tr>
    </w:tbl>
    <w:p w14:paraId="18FA3CF1" w14:textId="77777777" w:rsidR="008423E4" w:rsidRPr="00BE0E75" w:rsidRDefault="008423E4" w:rsidP="008677E2">
      <w:pPr>
        <w:jc w:val="both"/>
        <w:rPr>
          <w:rFonts w:ascii="Arial" w:hAnsi="Arial"/>
          <w:sz w:val="16"/>
          <w:szCs w:val="16"/>
        </w:rPr>
      </w:pPr>
    </w:p>
    <w:p w14:paraId="5300ADA9" w14:textId="77777777" w:rsidR="004108C3" w:rsidRPr="008423E4" w:rsidRDefault="004108C3" w:rsidP="008677E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3B37" w14:textId="77777777" w:rsidR="00000000" w:rsidRDefault="0028425F">
      <w:r>
        <w:separator/>
      </w:r>
    </w:p>
  </w:endnote>
  <w:endnote w:type="continuationSeparator" w:id="0">
    <w:p w14:paraId="067C0B96" w14:textId="77777777" w:rsidR="00000000" w:rsidRDefault="0028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B45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B493E" w14:paraId="7F0A7341" w14:textId="77777777" w:rsidTr="009C1E9A">
      <w:trPr>
        <w:cantSplit/>
      </w:trPr>
      <w:tc>
        <w:tcPr>
          <w:tcW w:w="0" w:type="pct"/>
        </w:tcPr>
        <w:p w14:paraId="76D907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0CA6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6F83F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257F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957D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B493E" w14:paraId="7CED111E" w14:textId="77777777" w:rsidTr="009C1E9A">
      <w:trPr>
        <w:cantSplit/>
      </w:trPr>
      <w:tc>
        <w:tcPr>
          <w:tcW w:w="0" w:type="pct"/>
        </w:tcPr>
        <w:p w14:paraId="4EF47B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1F888B" w14:textId="5EA55DBB" w:rsidR="00EC379B" w:rsidRPr="009C1E9A" w:rsidRDefault="0028425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21351-D</w:t>
          </w:r>
        </w:p>
      </w:tc>
      <w:tc>
        <w:tcPr>
          <w:tcW w:w="2453" w:type="pct"/>
        </w:tcPr>
        <w:p w14:paraId="18C5F24C" w14:textId="55D65AF1" w:rsidR="00EC379B" w:rsidRDefault="002842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954D4">
            <w:t>23.90.317</w:t>
          </w:r>
          <w:r>
            <w:fldChar w:fldCharType="end"/>
          </w:r>
        </w:p>
      </w:tc>
    </w:tr>
    <w:tr w:rsidR="008B493E" w14:paraId="6A020C59" w14:textId="77777777" w:rsidTr="009C1E9A">
      <w:trPr>
        <w:cantSplit/>
      </w:trPr>
      <w:tc>
        <w:tcPr>
          <w:tcW w:w="0" w:type="pct"/>
        </w:tcPr>
        <w:p w14:paraId="2DB69EF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1FE29C0" w14:textId="6EB776ED" w:rsidR="00EC379B" w:rsidRPr="009C1E9A" w:rsidRDefault="0028425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15784</w:t>
          </w:r>
        </w:p>
      </w:tc>
      <w:tc>
        <w:tcPr>
          <w:tcW w:w="2453" w:type="pct"/>
        </w:tcPr>
        <w:p w14:paraId="1E947C6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7614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B493E" w14:paraId="60511C2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BA0A472" w14:textId="4D71EA5D" w:rsidR="00EC379B" w:rsidRDefault="0028425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677E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CD19BC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B199E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A1E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3BEB" w14:textId="77777777" w:rsidR="00000000" w:rsidRDefault="0028425F">
      <w:r>
        <w:separator/>
      </w:r>
    </w:p>
  </w:footnote>
  <w:footnote w:type="continuationSeparator" w:id="0">
    <w:p w14:paraId="403B9C61" w14:textId="77777777" w:rsidR="00000000" w:rsidRDefault="0028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70E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9FE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57D6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A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0992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955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6F9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23D"/>
    <w:rsid w:val="00216BBA"/>
    <w:rsid w:val="00216E12"/>
    <w:rsid w:val="00217466"/>
    <w:rsid w:val="0021751D"/>
    <w:rsid w:val="00217C49"/>
    <w:rsid w:val="0022177D"/>
    <w:rsid w:val="00224C37"/>
    <w:rsid w:val="00224F10"/>
    <w:rsid w:val="002304DF"/>
    <w:rsid w:val="0023341D"/>
    <w:rsid w:val="002338DA"/>
    <w:rsid w:val="00233D66"/>
    <w:rsid w:val="00233FDB"/>
    <w:rsid w:val="00234F58"/>
    <w:rsid w:val="0023507D"/>
    <w:rsid w:val="00235734"/>
    <w:rsid w:val="0024077A"/>
    <w:rsid w:val="00241EC1"/>
    <w:rsid w:val="002431DA"/>
    <w:rsid w:val="00243D47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25F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528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791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19B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7A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1A0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02DD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EC8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97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297"/>
    <w:rsid w:val="005256B2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545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41B"/>
    <w:rsid w:val="00640CB6"/>
    <w:rsid w:val="00641B42"/>
    <w:rsid w:val="006451F1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DAD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6A8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6E1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48B7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C0B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7E2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93E"/>
    <w:rsid w:val="008B7785"/>
    <w:rsid w:val="008C0809"/>
    <w:rsid w:val="008C132C"/>
    <w:rsid w:val="008C3FD0"/>
    <w:rsid w:val="008C4AAD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AF0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362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6743D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EA1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88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E1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F7D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549B"/>
    <w:rsid w:val="00A65FF7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B79"/>
    <w:rsid w:val="00A95D51"/>
    <w:rsid w:val="00A96482"/>
    <w:rsid w:val="00AA18AE"/>
    <w:rsid w:val="00AA228B"/>
    <w:rsid w:val="00AA38B2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300"/>
    <w:rsid w:val="00B564BF"/>
    <w:rsid w:val="00B6104E"/>
    <w:rsid w:val="00B610C7"/>
    <w:rsid w:val="00B62106"/>
    <w:rsid w:val="00B626A8"/>
    <w:rsid w:val="00B64BC3"/>
    <w:rsid w:val="00B65695"/>
    <w:rsid w:val="00B66526"/>
    <w:rsid w:val="00B665A3"/>
    <w:rsid w:val="00B73BB4"/>
    <w:rsid w:val="00B7674C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38A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441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0F7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39D"/>
    <w:rsid w:val="00C42B41"/>
    <w:rsid w:val="00C46166"/>
    <w:rsid w:val="00C4710D"/>
    <w:rsid w:val="00C50CAD"/>
    <w:rsid w:val="00C539B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5F67"/>
    <w:rsid w:val="00C7669F"/>
    <w:rsid w:val="00C76DFF"/>
    <w:rsid w:val="00C80B8F"/>
    <w:rsid w:val="00C82743"/>
    <w:rsid w:val="00C834CE"/>
    <w:rsid w:val="00C9047F"/>
    <w:rsid w:val="00C9128B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644"/>
    <w:rsid w:val="00CC24B7"/>
    <w:rsid w:val="00CC4B9C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B38"/>
    <w:rsid w:val="00D060A8"/>
    <w:rsid w:val="00D06605"/>
    <w:rsid w:val="00D0720F"/>
    <w:rsid w:val="00D074E2"/>
    <w:rsid w:val="00D11B0B"/>
    <w:rsid w:val="00D12A3E"/>
    <w:rsid w:val="00D16673"/>
    <w:rsid w:val="00D22160"/>
    <w:rsid w:val="00D22172"/>
    <w:rsid w:val="00D2301B"/>
    <w:rsid w:val="00D239EE"/>
    <w:rsid w:val="00D30534"/>
    <w:rsid w:val="00D35728"/>
    <w:rsid w:val="00D37BCF"/>
    <w:rsid w:val="00D40F93"/>
    <w:rsid w:val="00D41666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1A4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C05"/>
    <w:rsid w:val="00E04B30"/>
    <w:rsid w:val="00E05FB7"/>
    <w:rsid w:val="00E066E6"/>
    <w:rsid w:val="00E06807"/>
    <w:rsid w:val="00E06C5E"/>
    <w:rsid w:val="00E06ECB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7C6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4D4"/>
    <w:rsid w:val="00E96852"/>
    <w:rsid w:val="00EA03D1"/>
    <w:rsid w:val="00EA16AC"/>
    <w:rsid w:val="00EA385A"/>
    <w:rsid w:val="00EA3931"/>
    <w:rsid w:val="00EA658E"/>
    <w:rsid w:val="00EA7A88"/>
    <w:rsid w:val="00EB27F2"/>
    <w:rsid w:val="00EB3928"/>
    <w:rsid w:val="00EB436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387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901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0CDC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3BA6"/>
    <w:rsid w:val="00F53C5A"/>
    <w:rsid w:val="00F5605D"/>
    <w:rsid w:val="00F56D33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535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F77B03-C93F-47F8-98D8-4C8A44E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3B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3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3BA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3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3BA6"/>
    <w:rPr>
      <w:b/>
      <w:bCs/>
    </w:rPr>
  </w:style>
  <w:style w:type="paragraph" w:styleId="Revision">
    <w:name w:val="Revision"/>
    <w:hidden/>
    <w:uiPriority w:val="99"/>
    <w:semiHidden/>
    <w:rsid w:val="00BD0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2574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HB01192 (Committee Report (Substituted))</vt:lpstr>
    </vt:vector>
  </TitlesOfParts>
  <Company>State of Texas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21351</dc:subject>
  <dc:creator>State of Texas</dc:creator>
  <dc:description>HB 1192 by Turner-(H)Higher Education (Substitute Document Number: 88R 15784)</dc:description>
  <cp:lastModifiedBy>Damian Duarte</cp:lastModifiedBy>
  <cp:revision>2</cp:revision>
  <cp:lastPrinted>2003-11-26T17:21:00Z</cp:lastPrinted>
  <dcterms:created xsi:type="dcterms:W3CDTF">2023-04-06T16:12:00Z</dcterms:created>
  <dcterms:modified xsi:type="dcterms:W3CDTF">2023-04-06T16:12:00Z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23.90.317</vt:lpwstr>
  </property>
</Properties>
</file>