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4173" w14:paraId="31AC37B4" w14:textId="77777777" w:rsidTr="00345119">
        <w:tc>
          <w:tcPr>
            <w:tcW w:w="9576" w:type="dxa"/>
            <w:noWrap/>
          </w:tcPr>
          <w:p w14:paraId="1BE8164D" w14:textId="77777777" w:rsidR="008423E4" w:rsidRPr="0022177D" w:rsidRDefault="00681006" w:rsidP="004F25F4">
            <w:pPr>
              <w:pStyle w:val="Heading1"/>
            </w:pPr>
            <w:r w:rsidRPr="00631897">
              <w:t>BILL ANALYSIS</w:t>
            </w:r>
          </w:p>
        </w:tc>
      </w:tr>
    </w:tbl>
    <w:p w14:paraId="36E1C2EB" w14:textId="77777777" w:rsidR="008423E4" w:rsidRPr="0022177D" w:rsidRDefault="008423E4" w:rsidP="004F25F4">
      <w:pPr>
        <w:jc w:val="center"/>
      </w:pPr>
    </w:p>
    <w:p w14:paraId="0DFF72A3" w14:textId="77777777" w:rsidR="008423E4" w:rsidRPr="00B31F0E" w:rsidRDefault="008423E4" w:rsidP="004F25F4"/>
    <w:p w14:paraId="1BDD92B6" w14:textId="77777777" w:rsidR="008423E4" w:rsidRPr="00742794" w:rsidRDefault="008423E4" w:rsidP="004F25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4173" w14:paraId="4CA86126" w14:textId="77777777" w:rsidTr="00345119">
        <w:tc>
          <w:tcPr>
            <w:tcW w:w="9576" w:type="dxa"/>
          </w:tcPr>
          <w:p w14:paraId="1E520C23" w14:textId="546B45EE" w:rsidR="008423E4" w:rsidRPr="00861995" w:rsidRDefault="00681006" w:rsidP="004F25F4">
            <w:pPr>
              <w:jc w:val="right"/>
            </w:pPr>
            <w:r>
              <w:t>H.B. 1283</w:t>
            </w:r>
          </w:p>
        </w:tc>
      </w:tr>
      <w:tr w:rsidR="00404173" w14:paraId="0ED9C4B0" w14:textId="77777777" w:rsidTr="00345119">
        <w:tc>
          <w:tcPr>
            <w:tcW w:w="9576" w:type="dxa"/>
          </w:tcPr>
          <w:p w14:paraId="72A3BEC0" w14:textId="406DE901" w:rsidR="008423E4" w:rsidRPr="00861995" w:rsidRDefault="00681006" w:rsidP="004F25F4">
            <w:pPr>
              <w:jc w:val="right"/>
            </w:pPr>
            <w:r>
              <w:t xml:space="preserve">By: </w:t>
            </w:r>
            <w:r w:rsidR="009A1FD0">
              <w:t>Oliverson</w:t>
            </w:r>
          </w:p>
        </w:tc>
      </w:tr>
      <w:tr w:rsidR="00404173" w14:paraId="70CC73CC" w14:textId="77777777" w:rsidTr="00345119">
        <w:tc>
          <w:tcPr>
            <w:tcW w:w="9576" w:type="dxa"/>
          </w:tcPr>
          <w:p w14:paraId="535B4E02" w14:textId="56A71606" w:rsidR="008423E4" w:rsidRPr="00861995" w:rsidRDefault="00681006" w:rsidP="004F25F4">
            <w:pPr>
              <w:jc w:val="right"/>
            </w:pPr>
            <w:r>
              <w:t>Health Care Reform, Select</w:t>
            </w:r>
          </w:p>
        </w:tc>
      </w:tr>
      <w:tr w:rsidR="00404173" w14:paraId="3D5A0297" w14:textId="77777777" w:rsidTr="00345119">
        <w:tc>
          <w:tcPr>
            <w:tcW w:w="9576" w:type="dxa"/>
          </w:tcPr>
          <w:p w14:paraId="6E83477A" w14:textId="78885520" w:rsidR="008423E4" w:rsidRDefault="00681006" w:rsidP="004F25F4">
            <w:pPr>
              <w:jc w:val="right"/>
            </w:pPr>
            <w:r>
              <w:t>Committee Report (Unamended)</w:t>
            </w:r>
          </w:p>
        </w:tc>
      </w:tr>
    </w:tbl>
    <w:p w14:paraId="41222AA8" w14:textId="77777777" w:rsidR="008423E4" w:rsidRDefault="008423E4" w:rsidP="004F25F4">
      <w:pPr>
        <w:tabs>
          <w:tab w:val="right" w:pos="9360"/>
        </w:tabs>
      </w:pPr>
    </w:p>
    <w:p w14:paraId="56CB33AA" w14:textId="77777777" w:rsidR="008423E4" w:rsidRDefault="008423E4" w:rsidP="004F25F4"/>
    <w:p w14:paraId="4C89E948" w14:textId="77777777" w:rsidR="008423E4" w:rsidRDefault="008423E4" w:rsidP="004F25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4173" w14:paraId="50CCEA50" w14:textId="77777777" w:rsidTr="00345119">
        <w:tc>
          <w:tcPr>
            <w:tcW w:w="9576" w:type="dxa"/>
          </w:tcPr>
          <w:p w14:paraId="61C757E7" w14:textId="77777777" w:rsidR="008423E4" w:rsidRPr="00A8133F" w:rsidRDefault="00681006" w:rsidP="004F25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843693" w14:textId="77777777" w:rsidR="008423E4" w:rsidRDefault="008423E4" w:rsidP="004F25F4"/>
          <w:p w14:paraId="662E7054" w14:textId="68B0AD6F" w:rsidR="008423E4" w:rsidRDefault="00681006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 establishes</w:t>
            </w:r>
            <w:r w:rsidRPr="00950B2A">
              <w:t xml:space="preserve"> </w:t>
            </w:r>
            <w:r>
              <w:t>content</w:t>
            </w:r>
            <w:r w:rsidR="00923B16">
              <w:t xml:space="preserve"> requirements</w:t>
            </w:r>
            <w:r>
              <w:t xml:space="preserve"> </w:t>
            </w:r>
            <w:r w:rsidR="00923B16">
              <w:t>for</w:t>
            </w:r>
            <w:r>
              <w:t xml:space="preserve"> a</w:t>
            </w:r>
            <w:r w:rsidRPr="00950B2A">
              <w:t xml:space="preserve"> </w:t>
            </w:r>
            <w:r>
              <w:t>m</w:t>
            </w:r>
            <w:r w:rsidRPr="00950B2A">
              <w:t xml:space="preserve">anaged </w:t>
            </w:r>
            <w:r>
              <w:t>c</w:t>
            </w:r>
            <w:r w:rsidRPr="00950B2A">
              <w:t xml:space="preserve">are </w:t>
            </w:r>
            <w:r>
              <w:t>contract</w:t>
            </w:r>
            <w:r w:rsidR="00923B16">
              <w:t>.</w:t>
            </w:r>
            <w:r>
              <w:t xml:space="preserve"> </w:t>
            </w:r>
            <w:r w:rsidR="00923B16">
              <w:t>Among these requirements are the requirements f</w:t>
            </w:r>
            <w:r>
              <w:t>or managed care o</w:t>
            </w:r>
            <w:r w:rsidRPr="00950B2A">
              <w:t xml:space="preserve">rganizations (MCOs) operating in the </w:t>
            </w:r>
            <w:r>
              <w:t>state</w:t>
            </w:r>
            <w:r w:rsidRPr="00950B2A">
              <w:t xml:space="preserve"> Medicaid program </w:t>
            </w:r>
            <w:r>
              <w:t xml:space="preserve">to </w:t>
            </w:r>
            <w:r w:rsidRPr="00950B2A">
              <w:t xml:space="preserve">adhere to the state's statewide drug formulary, applicable preferred drug list, and prior authorization procedures. </w:t>
            </w:r>
            <w:r w:rsidR="005A60B8">
              <w:t xml:space="preserve">These particular requirements are set to lapse on </w:t>
            </w:r>
            <w:r w:rsidRPr="00950B2A">
              <w:t>August</w:t>
            </w:r>
            <w:r w:rsidR="004B2A33">
              <w:t> </w:t>
            </w:r>
            <w:r w:rsidRPr="00950B2A">
              <w:t>31, 2023</w:t>
            </w:r>
            <w:r w:rsidR="005A60B8">
              <w:t>,</w:t>
            </w:r>
            <w:r w:rsidRPr="00950B2A">
              <w:t xml:space="preserve"> </w:t>
            </w:r>
            <w:r w:rsidR="005A60B8">
              <w:t>a</w:t>
            </w:r>
            <w:r w:rsidRPr="00950B2A">
              <w:t xml:space="preserve">fter </w:t>
            </w:r>
            <w:r w:rsidR="005A60B8">
              <w:t>which</w:t>
            </w:r>
            <w:r w:rsidRPr="00950B2A">
              <w:t xml:space="preserve"> each MCO </w:t>
            </w:r>
            <w:r w:rsidR="005A60B8">
              <w:t>would be able to</w:t>
            </w:r>
            <w:r w:rsidR="005A60B8" w:rsidRPr="00950B2A">
              <w:t xml:space="preserve"> </w:t>
            </w:r>
            <w:r w:rsidRPr="00950B2A">
              <w:t>develop their own drug lists and policies for use with their beneficiaries</w:t>
            </w:r>
            <w:r w:rsidR="00BE0EE5">
              <w:t>, moving</w:t>
            </w:r>
            <w:r w:rsidR="005A60B8">
              <w:t xml:space="preserve"> </w:t>
            </w:r>
            <w:r w:rsidRPr="00950B2A">
              <w:t xml:space="preserve">Texas away from </w:t>
            </w:r>
            <w:r w:rsidR="00E268F4">
              <w:t>the</w:t>
            </w:r>
            <w:r w:rsidR="00E268F4" w:rsidRPr="00950B2A">
              <w:t xml:space="preserve"> </w:t>
            </w:r>
            <w:r w:rsidRPr="00950B2A">
              <w:t>statewide drug formulary</w:t>
            </w:r>
            <w:r w:rsidR="00E268F4">
              <w:t xml:space="preserve"> model</w:t>
            </w:r>
            <w:r w:rsidR="00BE0EE5">
              <w:t xml:space="preserve"> that </w:t>
            </w:r>
            <w:r w:rsidR="005A60B8">
              <w:t xml:space="preserve">a number of </w:t>
            </w:r>
            <w:r w:rsidR="00E268F4">
              <w:t xml:space="preserve">other </w:t>
            </w:r>
            <w:r w:rsidRPr="00950B2A">
              <w:t>states around the country</w:t>
            </w:r>
            <w:r w:rsidR="00E268F4">
              <w:t xml:space="preserve"> have</w:t>
            </w:r>
            <w:r w:rsidRPr="00950B2A">
              <w:t xml:space="preserve"> adopt</w:t>
            </w:r>
            <w:r w:rsidR="00E268F4">
              <w:t>ed</w:t>
            </w:r>
            <w:r w:rsidR="00BE0EE5">
              <w:t xml:space="preserve">. This shift would happen </w:t>
            </w:r>
            <w:r w:rsidR="00E268F4">
              <w:t>at the same time that,</w:t>
            </w:r>
            <w:r w:rsidRPr="00950B2A">
              <w:t xml:space="preserve"> </w:t>
            </w:r>
            <w:r w:rsidR="00E268F4">
              <w:t xml:space="preserve">according to reports in </w:t>
            </w:r>
            <w:r w:rsidRPr="00235A9A">
              <w:rPr>
                <w:i/>
                <w:iCs/>
              </w:rPr>
              <w:t>Healthcare Dive</w:t>
            </w:r>
            <w:r w:rsidR="00E268F4">
              <w:t>,</w:t>
            </w:r>
            <w:r w:rsidRPr="00950B2A">
              <w:t xml:space="preserve"> states across the country are identifying potentially fraudulent drug pricing and reimbursement activity by health plans and pharmacy benefit managers. For ex</w:t>
            </w:r>
            <w:r w:rsidRPr="00950B2A">
              <w:t xml:space="preserve">ample, one company that currently operates in Texas has agreed to pay $477 </w:t>
            </w:r>
            <w:r w:rsidR="005A60B8">
              <w:t>million</w:t>
            </w:r>
            <w:r w:rsidRPr="00950B2A">
              <w:t xml:space="preserve"> in settlements across </w:t>
            </w:r>
            <w:r w:rsidR="00923B16">
              <w:t>a number of</w:t>
            </w:r>
            <w:r w:rsidR="00923B16" w:rsidRPr="00950B2A">
              <w:t xml:space="preserve"> </w:t>
            </w:r>
            <w:r w:rsidRPr="00950B2A">
              <w:t>states</w:t>
            </w:r>
            <w:r w:rsidR="00E268F4">
              <w:t xml:space="preserve"> for engaging in such activity</w:t>
            </w:r>
            <w:r w:rsidRPr="00950B2A">
              <w:t xml:space="preserve">, including </w:t>
            </w:r>
            <w:r w:rsidR="00923B16">
              <w:t xml:space="preserve">a $165.6 million settlement with the State of </w:t>
            </w:r>
            <w:r w:rsidRPr="00950B2A">
              <w:t>Texas. Use of a statewide single drug formula</w:t>
            </w:r>
            <w:r w:rsidRPr="00950B2A">
              <w:t xml:space="preserve">ry and preferred drug list is the best approach for </w:t>
            </w:r>
            <w:r w:rsidR="005A60B8">
              <w:t xml:space="preserve">the state </w:t>
            </w:r>
            <w:r w:rsidRPr="00950B2A">
              <w:t xml:space="preserve">Medicaid </w:t>
            </w:r>
            <w:r w:rsidR="005A60B8">
              <w:t xml:space="preserve">program </w:t>
            </w:r>
            <w:r w:rsidRPr="00950B2A">
              <w:t>because of its financial transparency, budget predictability, patient access and patient protection standardization, and use of the lowest net cost drug to the program. H.B. 128</w:t>
            </w:r>
            <w:r w:rsidRPr="00950B2A">
              <w:t xml:space="preserve">3 </w:t>
            </w:r>
            <w:r w:rsidR="005A60B8">
              <w:t xml:space="preserve">seeks to </w:t>
            </w:r>
            <w:r w:rsidRPr="00950B2A">
              <w:t xml:space="preserve">permanently maintain the </w:t>
            </w:r>
            <w:r w:rsidR="005A60B8">
              <w:t xml:space="preserve">use of the </w:t>
            </w:r>
            <w:r w:rsidRPr="00950B2A">
              <w:t xml:space="preserve">single statewide drug formulary and preferred drug list </w:t>
            </w:r>
            <w:r w:rsidR="005A60B8">
              <w:t>by</w:t>
            </w:r>
            <w:r w:rsidRPr="00950B2A">
              <w:t xml:space="preserve"> repeal</w:t>
            </w:r>
            <w:r w:rsidR="005A60B8">
              <w:t>ing</w:t>
            </w:r>
            <w:r w:rsidRPr="00950B2A">
              <w:t xml:space="preserve"> the </w:t>
            </w:r>
            <w:r w:rsidR="005A60B8">
              <w:t xml:space="preserve">aforementioned </w:t>
            </w:r>
            <w:r w:rsidRPr="00950B2A">
              <w:t>sunset provision.</w:t>
            </w:r>
          </w:p>
          <w:p w14:paraId="1E9838EF" w14:textId="77777777" w:rsidR="008423E4" w:rsidRPr="00E26B13" w:rsidRDefault="008423E4" w:rsidP="004F25F4">
            <w:pPr>
              <w:rPr>
                <w:b/>
              </w:rPr>
            </w:pPr>
          </w:p>
        </w:tc>
      </w:tr>
      <w:tr w:rsidR="00404173" w14:paraId="48D833AA" w14:textId="77777777" w:rsidTr="00345119">
        <w:tc>
          <w:tcPr>
            <w:tcW w:w="9576" w:type="dxa"/>
          </w:tcPr>
          <w:p w14:paraId="6045CF75" w14:textId="77777777" w:rsidR="0017725B" w:rsidRDefault="00681006" w:rsidP="004F25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34B7E2" w14:textId="77777777" w:rsidR="0017725B" w:rsidRDefault="0017725B" w:rsidP="004F25F4">
            <w:pPr>
              <w:rPr>
                <w:b/>
                <w:u w:val="single"/>
              </w:rPr>
            </w:pPr>
          </w:p>
          <w:p w14:paraId="731D0C07" w14:textId="3C635304" w:rsidR="003C0ADC" w:rsidRPr="003C0ADC" w:rsidRDefault="00681006" w:rsidP="004F25F4">
            <w:pPr>
              <w:jc w:val="both"/>
            </w:pPr>
            <w:r>
              <w:t>It is the committee's opinion that this bill does not expressly create a cri</w:t>
            </w:r>
            <w:r>
              <w:t>minal offense, increase the punishment for an existing criminal offense or category of offenses, or change the eligibility of a person for community supervision, parole, or mandatory supervision.</w:t>
            </w:r>
          </w:p>
          <w:p w14:paraId="43D476A3" w14:textId="77777777" w:rsidR="0017725B" w:rsidRPr="0017725B" w:rsidRDefault="0017725B" w:rsidP="004F25F4">
            <w:pPr>
              <w:rPr>
                <w:b/>
                <w:u w:val="single"/>
              </w:rPr>
            </w:pPr>
          </w:p>
        </w:tc>
      </w:tr>
      <w:tr w:rsidR="00404173" w14:paraId="6C1581B8" w14:textId="77777777" w:rsidTr="00345119">
        <w:tc>
          <w:tcPr>
            <w:tcW w:w="9576" w:type="dxa"/>
          </w:tcPr>
          <w:p w14:paraId="2942E28A" w14:textId="77777777" w:rsidR="008423E4" w:rsidRPr="00A8133F" w:rsidRDefault="00681006" w:rsidP="004F25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F9A38D" w14:textId="77777777" w:rsidR="008423E4" w:rsidRDefault="008423E4" w:rsidP="004F25F4"/>
          <w:p w14:paraId="59DEB7B4" w14:textId="503A66A8" w:rsidR="003C0ADC" w:rsidRDefault="00681006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this bill does not expressly grant any additional rulemaking authority to a state officer, department, agency, or institution.</w:t>
            </w:r>
          </w:p>
          <w:p w14:paraId="14F73E16" w14:textId="77777777" w:rsidR="008423E4" w:rsidRPr="00E21FDC" w:rsidRDefault="008423E4" w:rsidP="004F25F4">
            <w:pPr>
              <w:rPr>
                <w:b/>
              </w:rPr>
            </w:pPr>
          </w:p>
        </w:tc>
      </w:tr>
      <w:tr w:rsidR="00404173" w14:paraId="46E95385" w14:textId="77777777" w:rsidTr="00345119">
        <w:tc>
          <w:tcPr>
            <w:tcW w:w="9576" w:type="dxa"/>
          </w:tcPr>
          <w:p w14:paraId="101E64BC" w14:textId="77777777" w:rsidR="008423E4" w:rsidRPr="00A8133F" w:rsidRDefault="00681006" w:rsidP="004F25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0B418E" w14:textId="77777777" w:rsidR="008423E4" w:rsidRDefault="008423E4" w:rsidP="004F25F4"/>
          <w:p w14:paraId="7F88D742" w14:textId="2DA706C7" w:rsidR="007E78CB" w:rsidRDefault="00681006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1283 </w:t>
            </w:r>
            <w:r w:rsidR="00642C90">
              <w:t>repeals</w:t>
            </w:r>
            <w:r>
              <w:t xml:space="preserve"> </w:t>
            </w:r>
            <w:r w:rsidR="00950B2A">
              <w:t xml:space="preserve">the </w:t>
            </w:r>
            <w:r w:rsidR="00F65101">
              <w:t xml:space="preserve">Government Code </w:t>
            </w:r>
            <w:r w:rsidR="00950B2A">
              <w:t xml:space="preserve">provision </w:t>
            </w:r>
            <w:r w:rsidR="00486E1B">
              <w:t xml:space="preserve">that </w:t>
            </w:r>
            <w:r w:rsidR="00950B2A">
              <w:t>mak</w:t>
            </w:r>
            <w:r w:rsidR="00486E1B">
              <w:t>es</w:t>
            </w:r>
            <w:r w:rsidR="00642C90">
              <w:t xml:space="preserve"> </w:t>
            </w:r>
            <w:r>
              <w:t xml:space="preserve">the requirements for the outpatient pharmacy </w:t>
            </w:r>
            <w:r>
              <w:t>benefit plan provided for as part of a Medicaid managed care contract to do the following</w:t>
            </w:r>
            <w:r w:rsidR="00950B2A">
              <w:t xml:space="preserve"> inapplicable and unenforceable on or after August 31, 2023</w:t>
            </w:r>
            <w:r>
              <w:t xml:space="preserve">: </w:t>
            </w:r>
          </w:p>
          <w:p w14:paraId="641C49FA" w14:textId="30C9B1FA" w:rsidR="007E78CB" w:rsidRDefault="00681006" w:rsidP="004F25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exclusively employ the state's Medicaid vendor drug program formulary and preserve the state's ability to</w:t>
            </w:r>
            <w:r>
              <w:t xml:space="preserve"> reduce waste, fraud, and abuse under Medicaid; </w:t>
            </w:r>
          </w:p>
          <w:p w14:paraId="1BFE33FF" w14:textId="44BD9A36" w:rsidR="007E78CB" w:rsidRDefault="00681006" w:rsidP="004F25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adhere to the applicable preferred drug list adopted by the Health and Human Services Commission; and </w:t>
            </w:r>
          </w:p>
          <w:p w14:paraId="3FDEECCE" w14:textId="69D430CE" w:rsidR="009C36CD" w:rsidRDefault="00681006" w:rsidP="004F25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include the prior authorization procedures and requirements prescribed by or implemented </w:t>
            </w:r>
            <w:r w:rsidR="007E78CB">
              <w:t xml:space="preserve">under applicable state law </w:t>
            </w:r>
            <w:r>
              <w:t>for the vendor drug program.</w:t>
            </w:r>
            <w:r w:rsidR="00C960D5">
              <w:t xml:space="preserve"> </w:t>
            </w:r>
          </w:p>
          <w:p w14:paraId="250BFDA5" w14:textId="580E5F08" w:rsidR="007E78CB" w:rsidRDefault="007E78CB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60A9AC" w14:textId="195ABD09" w:rsidR="007E78CB" w:rsidRDefault="00681006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1283 amends the Government Code to make a conforming change</w:t>
            </w:r>
            <w:r w:rsidR="00950B2A">
              <w:t xml:space="preserve"> and</w:t>
            </w:r>
            <w:r>
              <w:t xml:space="preserve"> </w:t>
            </w:r>
            <w:r w:rsidRPr="00A05038">
              <w:t xml:space="preserve">provides for the delayed implementation of </w:t>
            </w:r>
            <w:r>
              <w:t>any provision</w:t>
            </w:r>
            <w:r w:rsidRPr="00A05038">
              <w:t xml:space="preserve"> for which an applicable state agency determines a </w:t>
            </w:r>
            <w:r>
              <w:t xml:space="preserve">federal </w:t>
            </w:r>
            <w:r w:rsidRPr="00A05038">
              <w:t>waiver or authorization is ne</w:t>
            </w:r>
            <w:r w:rsidRPr="00A05038">
              <w:t xml:space="preserve">cessary for implementation until the waiver or authorization is </w:t>
            </w:r>
            <w:r>
              <w:t xml:space="preserve">requested and </w:t>
            </w:r>
            <w:r w:rsidRPr="00A05038">
              <w:t>granted.</w:t>
            </w:r>
          </w:p>
          <w:p w14:paraId="238B23D8" w14:textId="10294C15" w:rsidR="00950B2A" w:rsidRDefault="00950B2A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58781B" w14:textId="428A6C32" w:rsidR="00950B2A" w:rsidRPr="009C36CD" w:rsidRDefault="00681006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1283 repeals Section 533.005(a-1), Government Code.</w:t>
            </w:r>
          </w:p>
          <w:p w14:paraId="662F7D5D" w14:textId="77777777" w:rsidR="008423E4" w:rsidRPr="00835628" w:rsidRDefault="008423E4" w:rsidP="004F25F4">
            <w:pPr>
              <w:rPr>
                <w:b/>
              </w:rPr>
            </w:pPr>
          </w:p>
        </w:tc>
      </w:tr>
      <w:tr w:rsidR="00404173" w14:paraId="76B1F639" w14:textId="77777777" w:rsidTr="00345119">
        <w:tc>
          <w:tcPr>
            <w:tcW w:w="9576" w:type="dxa"/>
          </w:tcPr>
          <w:p w14:paraId="0035DD07" w14:textId="77777777" w:rsidR="008423E4" w:rsidRPr="00A8133F" w:rsidRDefault="00681006" w:rsidP="004F25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6D0280" w14:textId="77777777" w:rsidR="008423E4" w:rsidRDefault="008423E4" w:rsidP="004F25F4"/>
          <w:p w14:paraId="4A05C1BE" w14:textId="5ACDC79B" w:rsidR="008423E4" w:rsidRPr="003624F2" w:rsidRDefault="00681006" w:rsidP="004F25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E664B2" w14:textId="77777777" w:rsidR="008423E4" w:rsidRPr="00233FDB" w:rsidRDefault="008423E4" w:rsidP="004F25F4">
            <w:pPr>
              <w:rPr>
                <w:b/>
              </w:rPr>
            </w:pPr>
          </w:p>
        </w:tc>
      </w:tr>
    </w:tbl>
    <w:p w14:paraId="243FE8B0" w14:textId="77777777" w:rsidR="008423E4" w:rsidRPr="00BE0E75" w:rsidRDefault="008423E4" w:rsidP="004F25F4">
      <w:pPr>
        <w:jc w:val="both"/>
        <w:rPr>
          <w:rFonts w:ascii="Arial" w:hAnsi="Arial"/>
          <w:sz w:val="16"/>
          <w:szCs w:val="16"/>
        </w:rPr>
      </w:pPr>
    </w:p>
    <w:p w14:paraId="42CE64B4" w14:textId="77777777" w:rsidR="004108C3" w:rsidRPr="008423E4" w:rsidRDefault="004108C3" w:rsidP="004F25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2626" w14:textId="77777777" w:rsidR="00000000" w:rsidRDefault="00681006">
      <w:r>
        <w:separator/>
      </w:r>
    </w:p>
  </w:endnote>
  <w:endnote w:type="continuationSeparator" w:id="0">
    <w:p w14:paraId="4C70F0A7" w14:textId="77777777" w:rsidR="00000000" w:rsidRDefault="0068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B1D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4173" w14:paraId="6A7E724F" w14:textId="77777777" w:rsidTr="009C1E9A">
      <w:trPr>
        <w:cantSplit/>
      </w:trPr>
      <w:tc>
        <w:tcPr>
          <w:tcW w:w="0" w:type="pct"/>
        </w:tcPr>
        <w:p w14:paraId="69D7A3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96DA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43841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3029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A47D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4173" w14:paraId="1D7FCD2F" w14:textId="77777777" w:rsidTr="009C1E9A">
      <w:trPr>
        <w:cantSplit/>
      </w:trPr>
      <w:tc>
        <w:tcPr>
          <w:tcW w:w="0" w:type="pct"/>
        </w:tcPr>
        <w:p w14:paraId="0FF442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B28C5C" w14:textId="0F16C08C" w:rsidR="00EC379B" w:rsidRPr="009C1E9A" w:rsidRDefault="006810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24333-D</w:t>
          </w:r>
        </w:p>
      </w:tc>
      <w:tc>
        <w:tcPr>
          <w:tcW w:w="2453" w:type="pct"/>
        </w:tcPr>
        <w:p w14:paraId="64BF6482" w14:textId="7BBBC932" w:rsidR="00EC379B" w:rsidRDefault="006810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A60EA">
            <w:t>23.107.1165</w:t>
          </w:r>
          <w:r>
            <w:fldChar w:fldCharType="end"/>
          </w:r>
        </w:p>
      </w:tc>
    </w:tr>
    <w:tr w:rsidR="00404173" w14:paraId="77CBEEA5" w14:textId="77777777" w:rsidTr="009C1E9A">
      <w:trPr>
        <w:cantSplit/>
      </w:trPr>
      <w:tc>
        <w:tcPr>
          <w:tcW w:w="0" w:type="pct"/>
        </w:tcPr>
        <w:p w14:paraId="4AEF448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24378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072D2A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08AC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4173" w14:paraId="4EE163F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8F30D1" w14:textId="77777777" w:rsidR="00EC379B" w:rsidRDefault="006810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50AB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C3E6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7FA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47E2" w14:textId="77777777" w:rsidR="00000000" w:rsidRDefault="00681006">
      <w:r>
        <w:separator/>
      </w:r>
    </w:p>
  </w:footnote>
  <w:footnote w:type="continuationSeparator" w:id="0">
    <w:p w14:paraId="06DDA176" w14:textId="77777777" w:rsidR="00000000" w:rsidRDefault="0068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E1D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1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0D6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166E"/>
    <w:multiLevelType w:val="hybridMultilevel"/>
    <w:tmpl w:val="50CAB38E"/>
    <w:lvl w:ilvl="0" w:tplc="7CE6F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08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E7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D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45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CF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AE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C8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31"/>
    <w:rsid w:val="00000A70"/>
    <w:rsid w:val="000032B8"/>
    <w:rsid w:val="00003B06"/>
    <w:rsid w:val="000054B9"/>
    <w:rsid w:val="00007461"/>
    <w:rsid w:val="0001117E"/>
    <w:rsid w:val="0001125F"/>
    <w:rsid w:val="0001190E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A58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F9E"/>
    <w:rsid w:val="00127893"/>
    <w:rsid w:val="001312BB"/>
    <w:rsid w:val="00137D90"/>
    <w:rsid w:val="00141FB6"/>
    <w:rsid w:val="00142F8E"/>
    <w:rsid w:val="00143C8B"/>
    <w:rsid w:val="00147530"/>
    <w:rsid w:val="00147F18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9A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E98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ADC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BA3"/>
    <w:rsid w:val="00403E8A"/>
    <w:rsid w:val="00404173"/>
    <w:rsid w:val="00404BD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95D"/>
    <w:rsid w:val="00486E1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A33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5F4"/>
    <w:rsid w:val="004F32AD"/>
    <w:rsid w:val="004F57CB"/>
    <w:rsid w:val="004F64F6"/>
    <w:rsid w:val="004F67E2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1EA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4B31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0B8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35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DEF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C90"/>
    <w:rsid w:val="00645750"/>
    <w:rsid w:val="00650692"/>
    <w:rsid w:val="006508D3"/>
    <w:rsid w:val="00650AFA"/>
    <w:rsid w:val="00652ACE"/>
    <w:rsid w:val="00662B77"/>
    <w:rsid w:val="00662D0E"/>
    <w:rsid w:val="00663265"/>
    <w:rsid w:val="0066345F"/>
    <w:rsid w:val="0066485B"/>
    <w:rsid w:val="0067036E"/>
    <w:rsid w:val="006714AA"/>
    <w:rsid w:val="00671693"/>
    <w:rsid w:val="006757AA"/>
    <w:rsid w:val="00681006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149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9E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90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8C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27D51"/>
    <w:rsid w:val="00830EEB"/>
    <w:rsid w:val="00834016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B9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B1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B2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FD0"/>
    <w:rsid w:val="009A39F5"/>
    <w:rsid w:val="009A4588"/>
    <w:rsid w:val="009A5EA5"/>
    <w:rsid w:val="009A60EA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03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AB3"/>
    <w:rsid w:val="00A24AAD"/>
    <w:rsid w:val="00A26A8A"/>
    <w:rsid w:val="00A27255"/>
    <w:rsid w:val="00A32304"/>
    <w:rsid w:val="00A33E68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29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0EE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33A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0D5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77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15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958"/>
    <w:rsid w:val="00DD7509"/>
    <w:rsid w:val="00DD79C7"/>
    <w:rsid w:val="00DD7D6E"/>
    <w:rsid w:val="00DE1829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8F4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3E5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6C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01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CC9504-9874-4686-8F8B-22F43E7B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0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E9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E98"/>
    <w:rPr>
      <w:b/>
      <w:bCs/>
    </w:rPr>
  </w:style>
  <w:style w:type="paragraph" w:styleId="Revision">
    <w:name w:val="Revision"/>
    <w:hidden/>
    <w:uiPriority w:val="99"/>
    <w:semiHidden/>
    <w:rsid w:val="00652ACE"/>
    <w:rPr>
      <w:sz w:val="24"/>
      <w:szCs w:val="24"/>
    </w:rPr>
  </w:style>
  <w:style w:type="character" w:styleId="Hyperlink">
    <w:name w:val="Hyperlink"/>
    <w:basedOn w:val="DefaultParagraphFont"/>
    <w:unhideWhenUsed/>
    <w:rsid w:val="00923B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2705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HB01283 (Committee Report (Unamended))</vt:lpstr>
    </vt:vector>
  </TitlesOfParts>
  <Company>State of Texas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24333</dc:subject>
  <dc:creator>State of Texas</dc:creator>
  <dc:description>HB 1283 by Oliverson-(H)Health Care Reform, Select</dc:description>
  <cp:lastModifiedBy>Alan Gonzalez Otero</cp:lastModifiedBy>
  <cp:revision>2</cp:revision>
  <cp:lastPrinted>2003-11-26T17:21:00Z</cp:lastPrinted>
  <dcterms:created xsi:type="dcterms:W3CDTF">2023-04-18T17:20:00Z</dcterms:created>
  <dcterms:modified xsi:type="dcterms:W3CDTF">2023-04-18T17:20:00Z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23.107.1165</vt:lpwstr>
  </property>
</Properties>
</file>