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4DE3" w14:paraId="20BF3AFE" w14:textId="77777777" w:rsidTr="00345119">
        <w:tc>
          <w:tcPr>
            <w:tcW w:w="9576" w:type="dxa"/>
            <w:noWrap/>
          </w:tcPr>
          <w:p w14:paraId="11B9D223" w14:textId="77777777" w:rsidR="008423E4" w:rsidRPr="0022177D" w:rsidRDefault="002C6725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346F78A" w14:textId="77777777" w:rsidR="008423E4" w:rsidRPr="0022177D" w:rsidRDefault="008423E4" w:rsidP="008423E4">
      <w:pPr>
        <w:jc w:val="center"/>
      </w:pPr>
    </w:p>
    <w:p w14:paraId="34935E19" w14:textId="77777777" w:rsidR="008423E4" w:rsidRPr="00B31F0E" w:rsidRDefault="008423E4" w:rsidP="008423E4"/>
    <w:p w14:paraId="148DAD51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4DE3" w14:paraId="72847BDD" w14:textId="77777777" w:rsidTr="00345119">
        <w:tc>
          <w:tcPr>
            <w:tcW w:w="9576" w:type="dxa"/>
          </w:tcPr>
          <w:p w14:paraId="1A3EB3CD" w14:textId="5D0AF487" w:rsidR="008423E4" w:rsidRPr="00861995" w:rsidRDefault="002C6725" w:rsidP="00345119">
            <w:pPr>
              <w:jc w:val="right"/>
            </w:pPr>
            <w:r>
              <w:t>H.B. 1315</w:t>
            </w:r>
          </w:p>
        </w:tc>
      </w:tr>
      <w:tr w:rsidR="00294DE3" w14:paraId="4DB86DBB" w14:textId="77777777" w:rsidTr="00345119">
        <w:tc>
          <w:tcPr>
            <w:tcW w:w="9576" w:type="dxa"/>
          </w:tcPr>
          <w:p w14:paraId="5F90B68F" w14:textId="21734CF4" w:rsidR="008423E4" w:rsidRPr="00861995" w:rsidRDefault="002C6725" w:rsidP="00406733">
            <w:pPr>
              <w:jc w:val="right"/>
            </w:pPr>
            <w:r>
              <w:t xml:space="preserve">By: </w:t>
            </w:r>
            <w:r w:rsidR="00DF7786">
              <w:t>Herrero</w:t>
            </w:r>
          </w:p>
        </w:tc>
      </w:tr>
      <w:tr w:rsidR="00294DE3" w14:paraId="0BA072E4" w14:textId="77777777" w:rsidTr="00345119">
        <w:tc>
          <w:tcPr>
            <w:tcW w:w="9576" w:type="dxa"/>
          </w:tcPr>
          <w:p w14:paraId="37567A59" w14:textId="261A9AAD" w:rsidR="008423E4" w:rsidRPr="00861995" w:rsidRDefault="002C6725" w:rsidP="00345119">
            <w:pPr>
              <w:jc w:val="right"/>
            </w:pPr>
            <w:r>
              <w:t>Defense &amp; Veterans' Affairs</w:t>
            </w:r>
          </w:p>
        </w:tc>
      </w:tr>
      <w:tr w:rsidR="00294DE3" w14:paraId="11ACDBBB" w14:textId="77777777" w:rsidTr="00345119">
        <w:tc>
          <w:tcPr>
            <w:tcW w:w="9576" w:type="dxa"/>
          </w:tcPr>
          <w:p w14:paraId="25643E0A" w14:textId="5603F779" w:rsidR="008423E4" w:rsidRDefault="002C6725" w:rsidP="00345119">
            <w:pPr>
              <w:jc w:val="right"/>
            </w:pPr>
            <w:r>
              <w:t>Committee Report (Unamended)</w:t>
            </w:r>
          </w:p>
        </w:tc>
      </w:tr>
    </w:tbl>
    <w:p w14:paraId="2F763D19" w14:textId="77777777" w:rsidR="008423E4" w:rsidRDefault="008423E4" w:rsidP="008423E4">
      <w:pPr>
        <w:tabs>
          <w:tab w:val="right" w:pos="9360"/>
        </w:tabs>
      </w:pPr>
    </w:p>
    <w:p w14:paraId="6612A958" w14:textId="77777777" w:rsidR="008423E4" w:rsidRDefault="008423E4" w:rsidP="008423E4"/>
    <w:p w14:paraId="74F776D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4DE3" w14:paraId="0189D5D6" w14:textId="77777777" w:rsidTr="00345119">
        <w:tc>
          <w:tcPr>
            <w:tcW w:w="9576" w:type="dxa"/>
          </w:tcPr>
          <w:p w14:paraId="54965F08" w14:textId="77777777" w:rsidR="008423E4" w:rsidRPr="00A8133F" w:rsidRDefault="002C6725" w:rsidP="004049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C8A2C7" w14:textId="77777777" w:rsidR="008423E4" w:rsidRDefault="008423E4" w:rsidP="0040499C"/>
          <w:p w14:paraId="608DDF67" w14:textId="313ED84D" w:rsidR="00A43914" w:rsidRDefault="002C6725" w:rsidP="00404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7786">
              <w:t>The Burn Pits 360 Veterans Organization has worked</w:t>
            </w:r>
            <w:r w:rsidR="00BD29A6">
              <w:t xml:space="preserve"> diligently</w:t>
            </w:r>
            <w:r w:rsidRPr="00DF7786">
              <w:t xml:space="preserve"> for years to ensure service members and veterans exposed to toxins from open-air burn pits </w:t>
            </w:r>
            <w:r w:rsidR="00884845">
              <w:t xml:space="preserve">during their service </w:t>
            </w:r>
            <w:r w:rsidR="00C944E6">
              <w:t>gain access to</w:t>
            </w:r>
            <w:r w:rsidRPr="00DF7786">
              <w:t xml:space="preserve"> medical care and resources. The organization was integral </w:t>
            </w:r>
            <w:r w:rsidR="00884845">
              <w:t>to</w:t>
            </w:r>
            <w:r w:rsidR="00C944E6">
              <w:t xml:space="preserve"> the </w:t>
            </w:r>
            <w:r w:rsidRPr="00DF7786">
              <w:t>pass</w:t>
            </w:r>
            <w:r w:rsidR="00C944E6">
              <w:t>age of</w:t>
            </w:r>
            <w:r w:rsidRPr="00DF7786">
              <w:t xml:space="preserve"> legislation during the 86th Legislative Session that</w:t>
            </w:r>
            <w:r w:rsidR="00C944E6">
              <w:t xml:space="preserve"> provided for the creation</w:t>
            </w:r>
            <w:r w:rsidRPr="00DF7786">
              <w:t xml:space="preserve"> of the Texas Open Burn Pit Registry to help service members, veterans, and medical providers determine the long-term effects of exposure to airborne hazards.</w:t>
            </w:r>
            <w:r>
              <w:t xml:space="preserve"> </w:t>
            </w:r>
            <w:r w:rsidR="00C944E6">
              <w:t>H.B.</w:t>
            </w:r>
            <w:r w:rsidR="00BF0C05">
              <w:t> </w:t>
            </w:r>
            <w:r w:rsidR="00C944E6">
              <w:t>1315 seeks t</w:t>
            </w:r>
            <w:r w:rsidRPr="00DF7786">
              <w:t>o ensure the registry</w:t>
            </w:r>
            <w:r w:rsidR="00BF0C05">
              <w:t>'</w:t>
            </w:r>
            <w:r w:rsidRPr="00DF7786">
              <w:t>s benefits are fully realized an</w:t>
            </w:r>
            <w:r w:rsidRPr="00DF7786">
              <w:t xml:space="preserve">d to honor this </w:t>
            </w:r>
            <w:r w:rsidR="00BD29A6">
              <w:t>highly effective</w:t>
            </w:r>
            <w:r w:rsidR="00BD29A6" w:rsidRPr="00DF7786">
              <w:t xml:space="preserve"> </w:t>
            </w:r>
            <w:r w:rsidRPr="00DF7786">
              <w:t>organization</w:t>
            </w:r>
            <w:r w:rsidR="00C944E6">
              <w:t xml:space="preserve"> by</w:t>
            </w:r>
            <w:r w:rsidR="000666B0">
              <w:t xml:space="preserve"> establishing the </w:t>
            </w:r>
            <w:r w:rsidR="000666B0" w:rsidRPr="000666B0">
              <w:t>open burn pit registry fund</w:t>
            </w:r>
            <w:r w:rsidR="000666B0">
              <w:t xml:space="preserve"> composed in part of revenue </w:t>
            </w:r>
            <w:r w:rsidRPr="00DF7786">
              <w:t xml:space="preserve">from the issuance of </w:t>
            </w:r>
            <w:r w:rsidR="000666B0">
              <w:t>specialty</w:t>
            </w:r>
            <w:r w:rsidRPr="00DF7786">
              <w:t xml:space="preserve"> license plate</w:t>
            </w:r>
            <w:r w:rsidR="000666B0">
              <w:t>s</w:t>
            </w:r>
            <w:r w:rsidRPr="00DF7786">
              <w:t xml:space="preserve"> </w:t>
            </w:r>
            <w:r w:rsidR="000666B0">
              <w:t>t</w:t>
            </w:r>
            <w:r w:rsidR="00884845">
              <w:t xml:space="preserve">hat </w:t>
            </w:r>
            <w:r w:rsidR="000666B0">
              <w:t xml:space="preserve">honor </w:t>
            </w:r>
            <w:r w:rsidR="000666B0" w:rsidRPr="000666B0">
              <w:t>U.S. armed forces members who were exposed to open burn pits during their military service.</w:t>
            </w:r>
          </w:p>
          <w:p w14:paraId="08CB7D12" w14:textId="77777777" w:rsidR="008423E4" w:rsidRPr="00E26B13" w:rsidRDefault="008423E4" w:rsidP="0040499C">
            <w:pPr>
              <w:rPr>
                <w:b/>
              </w:rPr>
            </w:pPr>
          </w:p>
        </w:tc>
      </w:tr>
      <w:tr w:rsidR="00294DE3" w14:paraId="1241D26A" w14:textId="77777777" w:rsidTr="00345119">
        <w:tc>
          <w:tcPr>
            <w:tcW w:w="9576" w:type="dxa"/>
          </w:tcPr>
          <w:p w14:paraId="1FDD325C" w14:textId="77777777" w:rsidR="0017725B" w:rsidRDefault="002C6725" w:rsidP="004049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E1AF12" w14:textId="77777777" w:rsidR="0017725B" w:rsidRDefault="0017725B" w:rsidP="0040499C">
            <w:pPr>
              <w:rPr>
                <w:b/>
                <w:u w:val="single"/>
              </w:rPr>
            </w:pPr>
          </w:p>
          <w:p w14:paraId="516E7314" w14:textId="706F3093" w:rsidR="008C4CAF" w:rsidRPr="008C4CAF" w:rsidRDefault="002C6725" w:rsidP="0040499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7386B7B0" w14:textId="77777777" w:rsidR="0017725B" w:rsidRPr="0017725B" w:rsidRDefault="0017725B" w:rsidP="0040499C">
            <w:pPr>
              <w:rPr>
                <w:b/>
                <w:u w:val="single"/>
              </w:rPr>
            </w:pPr>
          </w:p>
        </w:tc>
      </w:tr>
      <w:tr w:rsidR="00294DE3" w14:paraId="52948E15" w14:textId="77777777" w:rsidTr="00345119">
        <w:tc>
          <w:tcPr>
            <w:tcW w:w="9576" w:type="dxa"/>
          </w:tcPr>
          <w:p w14:paraId="0231E4EF" w14:textId="77777777" w:rsidR="008423E4" w:rsidRPr="00A8133F" w:rsidRDefault="002C6725" w:rsidP="004049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284FAF" w14:textId="77777777" w:rsidR="008423E4" w:rsidRDefault="008423E4" w:rsidP="0040499C"/>
          <w:p w14:paraId="5481B1E4" w14:textId="43253567" w:rsidR="008C4CAF" w:rsidRDefault="002C6725" w:rsidP="00404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843FE9" w14:textId="77777777" w:rsidR="008423E4" w:rsidRPr="00E21FDC" w:rsidRDefault="008423E4" w:rsidP="0040499C">
            <w:pPr>
              <w:rPr>
                <w:b/>
              </w:rPr>
            </w:pPr>
          </w:p>
        </w:tc>
      </w:tr>
      <w:tr w:rsidR="00294DE3" w14:paraId="6ED77984" w14:textId="77777777" w:rsidTr="00345119">
        <w:tc>
          <w:tcPr>
            <w:tcW w:w="9576" w:type="dxa"/>
          </w:tcPr>
          <w:p w14:paraId="509A762D" w14:textId="07A69AD9" w:rsidR="008E749F" w:rsidRDefault="002C6725" w:rsidP="0040499C">
            <w:pPr>
              <w:pStyle w:val="Header"/>
              <w:jc w:val="both"/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361C56" w14:textId="77777777" w:rsidR="0040499C" w:rsidRDefault="0040499C" w:rsidP="0040499C">
            <w:pPr>
              <w:pStyle w:val="Header"/>
              <w:jc w:val="both"/>
            </w:pPr>
          </w:p>
          <w:p w14:paraId="467A4374" w14:textId="1C5BC235" w:rsidR="00E06ED7" w:rsidRDefault="002C6725" w:rsidP="0040499C">
            <w:pPr>
              <w:pStyle w:val="Header"/>
              <w:jc w:val="both"/>
            </w:pPr>
            <w:r>
              <w:t xml:space="preserve">H.B. </w:t>
            </w:r>
            <w:r w:rsidR="00ED39E1">
              <w:t xml:space="preserve">1315 </w:t>
            </w:r>
            <w:r>
              <w:t xml:space="preserve">amends the </w:t>
            </w:r>
            <w:r w:rsidRPr="00A552A9">
              <w:t>Health and Safety Code</w:t>
            </w:r>
            <w:r>
              <w:t xml:space="preserve"> to </w:t>
            </w:r>
            <w:r w:rsidR="00D3521B">
              <w:t>establish</w:t>
            </w:r>
            <w:r w:rsidR="0060443A">
              <w:t xml:space="preserve"> the open burn pit registry fund as a special fund in the state treasury outside the general revenue fund</w:t>
            </w:r>
            <w:r w:rsidR="002C1AB0">
              <w:t xml:space="preserve"> that is composed of </w:t>
            </w:r>
            <w:r>
              <w:t>the following sources:</w:t>
            </w:r>
          </w:p>
          <w:p w14:paraId="095F8D9C" w14:textId="20E88B34" w:rsidR="00E06ED7" w:rsidRDefault="002C6725" w:rsidP="0040499C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 w:rsidRPr="00E06ED7">
              <w:t>money transferred to the fund at the di</w:t>
            </w:r>
            <w:r w:rsidRPr="00E06ED7">
              <w:t>rection of the legislature;</w:t>
            </w:r>
          </w:p>
          <w:p w14:paraId="14310BE8" w14:textId="72F05D83" w:rsidR="00E06ED7" w:rsidRDefault="002C6725" w:rsidP="0040499C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 w:rsidRPr="00E06ED7">
              <w:t>gifts and grants contributed to the fund;</w:t>
            </w:r>
          </w:p>
          <w:p w14:paraId="0A40689F" w14:textId="5F1C1947" w:rsidR="00E06ED7" w:rsidRDefault="002C6725" w:rsidP="0040499C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 w:rsidRPr="00E06ED7">
              <w:t>the earnings of the fund; and</w:t>
            </w:r>
          </w:p>
          <w:p w14:paraId="5402B1F3" w14:textId="1A19C242" w:rsidR="00E06ED7" w:rsidRDefault="002C6725" w:rsidP="0040499C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 w:rsidRPr="00E06ED7">
              <w:t>money deposited to the credit of the fund</w:t>
            </w:r>
            <w:r>
              <w:t xml:space="preserve"> from the issuance of specialty license plates under the bill's provisions.</w:t>
            </w:r>
          </w:p>
          <w:p w14:paraId="13132C4A" w14:textId="6473FEDA" w:rsidR="009C36CD" w:rsidRDefault="002C6725" w:rsidP="0040499C">
            <w:pPr>
              <w:pStyle w:val="Header"/>
              <w:jc w:val="both"/>
            </w:pPr>
            <w:r>
              <w:t>Money in the fund may be appropriated o</w:t>
            </w:r>
            <w:r>
              <w:t xml:space="preserve">nly to the </w:t>
            </w:r>
            <w:r w:rsidR="00B17664" w:rsidRPr="00B17664">
              <w:t>Department of State Health Services (DSHS</w:t>
            </w:r>
            <w:r w:rsidR="008A290F">
              <w:t>) and used only</w:t>
            </w:r>
            <w:r>
              <w:t xml:space="preserve"> for </w:t>
            </w:r>
            <w:r w:rsidR="00F270B5">
              <w:t xml:space="preserve">purposes of the </w:t>
            </w:r>
            <w:r>
              <w:t>op</w:t>
            </w:r>
            <w:r w:rsidR="00AB0947">
              <w:t>en burn pit registry</w:t>
            </w:r>
            <w:r w:rsidR="00884641">
              <w:t xml:space="preserve"> established under state law, </w:t>
            </w:r>
            <w:r>
              <w:t xml:space="preserve">except that </w:t>
            </w:r>
            <w:r w:rsidR="00AB0947" w:rsidRPr="00B17664">
              <w:t>DSHS</w:t>
            </w:r>
            <w:r w:rsidR="00AB0947">
              <w:t xml:space="preserve"> </w:t>
            </w:r>
            <w:r>
              <w:t>may use the money for any other</w:t>
            </w:r>
            <w:r w:rsidR="00AB0947">
              <w:t xml:space="preserve"> </w:t>
            </w:r>
            <w:r w:rsidR="00AB0947" w:rsidRPr="00B17664">
              <w:t>DSHS</w:t>
            </w:r>
            <w:r>
              <w:t xml:space="preserve"> purpose consistent with legislative appropriation if </w:t>
            </w:r>
            <w:r w:rsidR="00AB0947" w:rsidRPr="00B17664">
              <w:t>DSHS</w:t>
            </w:r>
            <w:r w:rsidR="00AB0947">
              <w:t xml:space="preserve"> </w:t>
            </w:r>
            <w:r>
              <w:t>finds that the registry is adequately funded and contributions to the fund exceed the amount necessary for the registry to be adequately funded.</w:t>
            </w:r>
          </w:p>
          <w:p w14:paraId="5022A9CC" w14:textId="0523ED4B" w:rsidR="00AB0947" w:rsidRDefault="00AB0947" w:rsidP="00404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FBA8032" w14:textId="77777777" w:rsidR="001B5718" w:rsidRDefault="002C6725" w:rsidP="0040499C">
            <w:pPr>
              <w:jc w:val="both"/>
            </w:pPr>
            <w:r>
              <w:t xml:space="preserve">H.B. </w:t>
            </w:r>
            <w:r w:rsidR="00ED39E1">
              <w:t xml:space="preserve">1315 </w:t>
            </w:r>
            <w:r>
              <w:t>amends the Transportation Code to require</w:t>
            </w:r>
            <w:r w:rsidR="00D94024">
              <w:t xml:space="preserve"> the</w:t>
            </w:r>
            <w:r>
              <w:t xml:space="preserve"> </w:t>
            </w:r>
            <w:r w:rsidRPr="00AB0947">
              <w:t>Texas Department of Motor Vehicles (TxDMV)</w:t>
            </w:r>
            <w:r w:rsidR="008C4CAF">
              <w:t xml:space="preserve"> </w:t>
            </w:r>
            <w:r w:rsidR="00D94024">
              <w:t xml:space="preserve">to </w:t>
            </w:r>
            <w:r w:rsidR="008C4CAF">
              <w:t>issue specialty license plates to honor members of the U</w:t>
            </w:r>
            <w:r w:rsidR="00D94024">
              <w:t>.</w:t>
            </w:r>
            <w:r w:rsidR="008C4CAF">
              <w:t>S</w:t>
            </w:r>
            <w:r w:rsidR="00D94024">
              <w:t>.</w:t>
            </w:r>
            <w:r w:rsidR="008C4CAF">
              <w:t xml:space="preserve"> armed forces who were exposed to open burn pits during their military service. The license plates must include the words "Burn Pits 360 Veterans Organization" and a depiction of the Burn Pits 360 nonprofit organization logo. </w:t>
            </w:r>
            <w:r w:rsidR="00395719">
              <w:t xml:space="preserve">The bill requires </w:t>
            </w:r>
            <w:r w:rsidR="008C4CAF">
              <w:t>the remainder of the fee</w:t>
            </w:r>
            <w:r w:rsidR="00395719">
              <w:t xml:space="preserve"> </w:t>
            </w:r>
            <w:r w:rsidR="00B501F7" w:rsidRPr="00B501F7">
              <w:t>for issuance of the license plates</w:t>
            </w:r>
            <w:r w:rsidR="00E06ED7">
              <w:t xml:space="preserve">, </w:t>
            </w:r>
            <w:r w:rsidR="00E06ED7" w:rsidRPr="00395719">
              <w:t>after deduction of TxDMV administrative costs</w:t>
            </w:r>
            <w:r w:rsidR="00E06ED7">
              <w:t>,</w:t>
            </w:r>
            <w:r w:rsidR="00B501F7" w:rsidRPr="00B501F7">
              <w:t xml:space="preserve"> </w:t>
            </w:r>
            <w:r w:rsidR="00395719">
              <w:t xml:space="preserve">to </w:t>
            </w:r>
            <w:r w:rsidR="008C4CAF">
              <w:t>be deposited to the credit of the open burn pit registry fund</w:t>
            </w:r>
            <w:r w:rsidR="00F270B5">
              <w:t xml:space="preserve"> established under the bill's provisions</w:t>
            </w:r>
            <w:r w:rsidR="008C4CAF">
              <w:t xml:space="preserve">. The bill </w:t>
            </w:r>
            <w:r w:rsidR="00C03D40">
              <w:t xml:space="preserve">exempts these license plates from </w:t>
            </w:r>
            <w:r w:rsidR="005F73D5">
              <w:t xml:space="preserve">statutory provisions </w:t>
            </w:r>
            <w:r w:rsidR="00B21904">
              <w:t xml:space="preserve">that </w:t>
            </w:r>
            <w:r w:rsidR="00C03D40">
              <w:t>condition the manufacture of</w:t>
            </w:r>
            <w:r w:rsidR="00B21904">
              <w:t xml:space="preserve"> a specialty license plate authorized after January 1, 1999, </w:t>
            </w:r>
            <w:r w:rsidR="00C03D40">
              <w:t>on a party filing a request with TxDMV, accompanied by a deposit of $8,000, before the fifth anniversary of the effective date of the law author</w:t>
            </w:r>
            <w:r w:rsidR="005C3ECD">
              <w:t>iz</w:t>
            </w:r>
            <w:r w:rsidR="00C03D40">
              <w:t>ing issuance</w:t>
            </w:r>
            <w:r w:rsidR="008C4CAF">
              <w:t>.</w:t>
            </w:r>
          </w:p>
          <w:p w14:paraId="6196BCD7" w14:textId="41E9C1BE" w:rsidR="0040499C" w:rsidRPr="00835628" w:rsidRDefault="0040499C" w:rsidP="0040499C">
            <w:pPr>
              <w:jc w:val="both"/>
              <w:rPr>
                <w:b/>
              </w:rPr>
            </w:pPr>
          </w:p>
        </w:tc>
      </w:tr>
      <w:tr w:rsidR="00294DE3" w14:paraId="09D07406" w14:textId="77777777" w:rsidTr="00345119">
        <w:tc>
          <w:tcPr>
            <w:tcW w:w="9576" w:type="dxa"/>
          </w:tcPr>
          <w:p w14:paraId="5B5DAEFE" w14:textId="6E4A4784" w:rsidR="008423E4" w:rsidRPr="00A8133F" w:rsidRDefault="002C6725" w:rsidP="004049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0F31CC" w14:textId="77777777" w:rsidR="008423E4" w:rsidRDefault="008423E4" w:rsidP="0040499C"/>
          <w:p w14:paraId="45F62BB0" w14:textId="54F16916" w:rsidR="008423E4" w:rsidRPr="003624F2" w:rsidRDefault="002C6725" w:rsidP="00404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FF6CAD8" w14:textId="77777777" w:rsidR="008423E4" w:rsidRPr="00233FDB" w:rsidRDefault="008423E4" w:rsidP="0040499C">
            <w:pPr>
              <w:rPr>
                <w:b/>
              </w:rPr>
            </w:pPr>
          </w:p>
        </w:tc>
      </w:tr>
      <w:tr w:rsidR="00294DE3" w14:paraId="273D4553" w14:textId="77777777" w:rsidTr="00345119">
        <w:tc>
          <w:tcPr>
            <w:tcW w:w="9576" w:type="dxa"/>
          </w:tcPr>
          <w:p w14:paraId="28A04329" w14:textId="61A24949" w:rsidR="002C0589" w:rsidRPr="00A43914" w:rsidRDefault="002C0589" w:rsidP="0040499C"/>
        </w:tc>
      </w:tr>
      <w:tr w:rsidR="00294DE3" w14:paraId="5045FA68" w14:textId="77777777" w:rsidTr="00345119">
        <w:tc>
          <w:tcPr>
            <w:tcW w:w="9576" w:type="dxa"/>
          </w:tcPr>
          <w:p w14:paraId="6CFD662F" w14:textId="77777777" w:rsidR="00406733" w:rsidRPr="009C1E9A" w:rsidRDefault="00406733" w:rsidP="0040499C">
            <w:pPr>
              <w:rPr>
                <w:b/>
                <w:u w:val="single"/>
              </w:rPr>
            </w:pPr>
          </w:p>
        </w:tc>
      </w:tr>
      <w:tr w:rsidR="00294DE3" w14:paraId="7BE3C9E7" w14:textId="77777777" w:rsidTr="00345119">
        <w:tc>
          <w:tcPr>
            <w:tcW w:w="9576" w:type="dxa"/>
          </w:tcPr>
          <w:p w14:paraId="23C29BE8" w14:textId="77777777" w:rsidR="00406733" w:rsidRPr="00406733" w:rsidRDefault="00406733" w:rsidP="0040499C">
            <w:pPr>
              <w:jc w:val="both"/>
            </w:pPr>
          </w:p>
        </w:tc>
      </w:tr>
    </w:tbl>
    <w:p w14:paraId="1CFFBC76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9EDA9C6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85D4" w14:textId="77777777" w:rsidR="00000000" w:rsidRDefault="002C6725">
      <w:r>
        <w:separator/>
      </w:r>
    </w:p>
  </w:endnote>
  <w:endnote w:type="continuationSeparator" w:id="0">
    <w:p w14:paraId="117CBE12" w14:textId="77777777" w:rsidR="00000000" w:rsidRDefault="002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A8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4DE3" w14:paraId="1AE0484D" w14:textId="77777777" w:rsidTr="009C1E9A">
      <w:trPr>
        <w:cantSplit/>
      </w:trPr>
      <w:tc>
        <w:tcPr>
          <w:tcW w:w="0" w:type="pct"/>
        </w:tcPr>
        <w:p w14:paraId="6EC68A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B1C3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AD111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74F3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AC4B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DE3" w14:paraId="460EAA7F" w14:textId="77777777" w:rsidTr="009C1E9A">
      <w:trPr>
        <w:cantSplit/>
      </w:trPr>
      <w:tc>
        <w:tcPr>
          <w:tcW w:w="0" w:type="pct"/>
        </w:tcPr>
        <w:p w14:paraId="29426F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C1ACDC" w14:textId="62A07A2F" w:rsidR="00EC379B" w:rsidRPr="009C1E9A" w:rsidRDefault="002C67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20293-D</w:t>
          </w:r>
        </w:p>
      </w:tc>
      <w:tc>
        <w:tcPr>
          <w:tcW w:w="2453" w:type="pct"/>
        </w:tcPr>
        <w:p w14:paraId="45115C4C" w14:textId="71A5D36F" w:rsidR="00EC379B" w:rsidRDefault="002C67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499C">
            <w:t>23.83.930</w:t>
          </w:r>
          <w:r>
            <w:fldChar w:fldCharType="end"/>
          </w:r>
        </w:p>
      </w:tc>
    </w:tr>
    <w:tr w:rsidR="00294DE3" w14:paraId="5220F129" w14:textId="77777777" w:rsidTr="009C1E9A">
      <w:trPr>
        <w:cantSplit/>
      </w:trPr>
      <w:tc>
        <w:tcPr>
          <w:tcW w:w="0" w:type="pct"/>
        </w:tcPr>
        <w:p w14:paraId="3BAFB0A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1849A2" w14:textId="18763F3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CDC5A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25B1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DE3" w14:paraId="074BEEE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D086A3" w14:textId="3A90A912" w:rsidR="00EC379B" w:rsidRDefault="002C67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B571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ECA05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19887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78C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FB34" w14:textId="77777777" w:rsidR="00000000" w:rsidRDefault="002C6725">
      <w:r>
        <w:separator/>
      </w:r>
    </w:p>
  </w:footnote>
  <w:footnote w:type="continuationSeparator" w:id="0">
    <w:p w14:paraId="5C3A926E" w14:textId="77777777" w:rsidR="00000000" w:rsidRDefault="002C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B83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396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C6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8531D"/>
    <w:multiLevelType w:val="hybridMultilevel"/>
    <w:tmpl w:val="8D4AD6CE"/>
    <w:lvl w:ilvl="0" w:tplc="82B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2F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40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4D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EF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F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C5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6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8C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612C"/>
    <w:multiLevelType w:val="hybridMultilevel"/>
    <w:tmpl w:val="4FF27FF0"/>
    <w:lvl w:ilvl="0" w:tplc="3E780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0C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8B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B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09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C4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E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C1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49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209E5"/>
    <w:multiLevelType w:val="hybridMultilevel"/>
    <w:tmpl w:val="8494C884"/>
    <w:lvl w:ilvl="0" w:tplc="C57E1D8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1D666E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FAEE5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6AC441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A90A7E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D4AF29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8D247C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E38CF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57A0CA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5572305">
    <w:abstractNumId w:val="0"/>
  </w:num>
  <w:num w:numId="2" w16cid:durableId="1744765101">
    <w:abstractNumId w:val="2"/>
  </w:num>
  <w:num w:numId="3" w16cid:durableId="131841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A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695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6B0"/>
    <w:rsid w:val="000667BA"/>
    <w:rsid w:val="000676A7"/>
    <w:rsid w:val="00073914"/>
    <w:rsid w:val="00074236"/>
    <w:rsid w:val="000746BD"/>
    <w:rsid w:val="00076D7D"/>
    <w:rsid w:val="0008022A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24FC"/>
    <w:rsid w:val="000C49DA"/>
    <w:rsid w:val="000C4B3D"/>
    <w:rsid w:val="000C6DC1"/>
    <w:rsid w:val="000C6E20"/>
    <w:rsid w:val="000C76D7"/>
    <w:rsid w:val="000C7F1D"/>
    <w:rsid w:val="000D2EBA"/>
    <w:rsid w:val="000D2F70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31A"/>
    <w:rsid w:val="00110F8C"/>
    <w:rsid w:val="00111FCD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DC8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C28"/>
    <w:rsid w:val="001B053A"/>
    <w:rsid w:val="001B26D8"/>
    <w:rsid w:val="001B3BFA"/>
    <w:rsid w:val="001B571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4D0"/>
    <w:rsid w:val="0022177D"/>
    <w:rsid w:val="00224C37"/>
    <w:rsid w:val="002304DF"/>
    <w:rsid w:val="0023341D"/>
    <w:rsid w:val="002338DA"/>
    <w:rsid w:val="00233D66"/>
    <w:rsid w:val="00233FDB"/>
    <w:rsid w:val="002349B3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B34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B95"/>
    <w:rsid w:val="00291518"/>
    <w:rsid w:val="00294DE3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589"/>
    <w:rsid w:val="002C1AB0"/>
    <w:rsid w:val="002C1C17"/>
    <w:rsid w:val="002C3203"/>
    <w:rsid w:val="002C3B07"/>
    <w:rsid w:val="002C532B"/>
    <w:rsid w:val="002C5713"/>
    <w:rsid w:val="002C6725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79A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719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3F9B"/>
    <w:rsid w:val="003B48E2"/>
    <w:rsid w:val="003B4F84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256"/>
    <w:rsid w:val="003E6CB0"/>
    <w:rsid w:val="003F1F5E"/>
    <w:rsid w:val="003F286A"/>
    <w:rsid w:val="003F77F8"/>
    <w:rsid w:val="00400ACD"/>
    <w:rsid w:val="00403B15"/>
    <w:rsid w:val="00403E8A"/>
    <w:rsid w:val="0040499C"/>
    <w:rsid w:val="00406733"/>
    <w:rsid w:val="004101E4"/>
    <w:rsid w:val="00410661"/>
    <w:rsid w:val="004108C3"/>
    <w:rsid w:val="00410B33"/>
    <w:rsid w:val="00410FC9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80F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B5D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E85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3F4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FC6"/>
    <w:rsid w:val="005B5516"/>
    <w:rsid w:val="005B5D2B"/>
    <w:rsid w:val="005C1496"/>
    <w:rsid w:val="005C17C5"/>
    <w:rsid w:val="005C2B21"/>
    <w:rsid w:val="005C2C00"/>
    <w:rsid w:val="005C3ECD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3D5"/>
    <w:rsid w:val="005F7AAA"/>
    <w:rsid w:val="00600BAA"/>
    <w:rsid w:val="006012DA"/>
    <w:rsid w:val="00603B0F"/>
    <w:rsid w:val="0060443A"/>
    <w:rsid w:val="006049F5"/>
    <w:rsid w:val="00605F7B"/>
    <w:rsid w:val="00607E64"/>
    <w:rsid w:val="006106E9"/>
    <w:rsid w:val="0061159E"/>
    <w:rsid w:val="00614633"/>
    <w:rsid w:val="00614BC8"/>
    <w:rsid w:val="006151FB"/>
    <w:rsid w:val="006172AD"/>
    <w:rsid w:val="00617411"/>
    <w:rsid w:val="006175B4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2ED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B61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6E8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37F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66A"/>
    <w:rsid w:val="00777518"/>
    <w:rsid w:val="0077779E"/>
    <w:rsid w:val="00780FB6"/>
    <w:rsid w:val="0078552A"/>
    <w:rsid w:val="00785729"/>
    <w:rsid w:val="00786058"/>
    <w:rsid w:val="00792DA1"/>
    <w:rsid w:val="0079487D"/>
    <w:rsid w:val="007966D4"/>
    <w:rsid w:val="00796A0A"/>
    <w:rsid w:val="0079792C"/>
    <w:rsid w:val="007A0989"/>
    <w:rsid w:val="007A2B52"/>
    <w:rsid w:val="007A331F"/>
    <w:rsid w:val="007A3844"/>
    <w:rsid w:val="007A4381"/>
    <w:rsid w:val="007A5466"/>
    <w:rsid w:val="007A7EC1"/>
    <w:rsid w:val="007B43E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CE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702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37C"/>
    <w:rsid w:val="008845BA"/>
    <w:rsid w:val="00884641"/>
    <w:rsid w:val="00884845"/>
    <w:rsid w:val="00885203"/>
    <w:rsid w:val="008859CA"/>
    <w:rsid w:val="008861EE"/>
    <w:rsid w:val="008877D5"/>
    <w:rsid w:val="00890B59"/>
    <w:rsid w:val="008930D7"/>
    <w:rsid w:val="008947A7"/>
    <w:rsid w:val="00897E80"/>
    <w:rsid w:val="008A04FA"/>
    <w:rsid w:val="008A290F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CAF"/>
    <w:rsid w:val="008C76B5"/>
    <w:rsid w:val="008D27A5"/>
    <w:rsid w:val="008D2AAB"/>
    <w:rsid w:val="008D309C"/>
    <w:rsid w:val="008D58F9"/>
    <w:rsid w:val="008E3338"/>
    <w:rsid w:val="008E47BE"/>
    <w:rsid w:val="008E749F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8E5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67260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14"/>
    <w:rsid w:val="00A43960"/>
    <w:rsid w:val="00A46902"/>
    <w:rsid w:val="00A50CDB"/>
    <w:rsid w:val="00A50F5F"/>
    <w:rsid w:val="00A51F3E"/>
    <w:rsid w:val="00A5364B"/>
    <w:rsid w:val="00A54142"/>
    <w:rsid w:val="00A54C42"/>
    <w:rsid w:val="00A552A9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0947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737"/>
    <w:rsid w:val="00B14BD2"/>
    <w:rsid w:val="00B1557F"/>
    <w:rsid w:val="00B1668D"/>
    <w:rsid w:val="00B17664"/>
    <w:rsid w:val="00B17981"/>
    <w:rsid w:val="00B21904"/>
    <w:rsid w:val="00B233BB"/>
    <w:rsid w:val="00B25612"/>
    <w:rsid w:val="00B26437"/>
    <w:rsid w:val="00B2678E"/>
    <w:rsid w:val="00B30647"/>
    <w:rsid w:val="00B31A73"/>
    <w:rsid w:val="00B31F0E"/>
    <w:rsid w:val="00B34F25"/>
    <w:rsid w:val="00B43672"/>
    <w:rsid w:val="00B473D8"/>
    <w:rsid w:val="00B501F7"/>
    <w:rsid w:val="00B5165A"/>
    <w:rsid w:val="00B524C1"/>
    <w:rsid w:val="00B52C8D"/>
    <w:rsid w:val="00B5419C"/>
    <w:rsid w:val="00B564BF"/>
    <w:rsid w:val="00B6104E"/>
    <w:rsid w:val="00B610C7"/>
    <w:rsid w:val="00B62106"/>
    <w:rsid w:val="00B626A8"/>
    <w:rsid w:val="00B65695"/>
    <w:rsid w:val="00B66526"/>
    <w:rsid w:val="00B665A3"/>
    <w:rsid w:val="00B67D8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29A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C05"/>
    <w:rsid w:val="00BF4949"/>
    <w:rsid w:val="00BF4D7C"/>
    <w:rsid w:val="00BF5085"/>
    <w:rsid w:val="00C013F4"/>
    <w:rsid w:val="00C03D40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DA3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896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70"/>
    <w:rsid w:val="00C7669F"/>
    <w:rsid w:val="00C76DFF"/>
    <w:rsid w:val="00C80B8F"/>
    <w:rsid w:val="00C82743"/>
    <w:rsid w:val="00C834CE"/>
    <w:rsid w:val="00C9047F"/>
    <w:rsid w:val="00C91F65"/>
    <w:rsid w:val="00C92310"/>
    <w:rsid w:val="00C944E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715"/>
    <w:rsid w:val="00CE2747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21B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024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FB6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16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4B0"/>
    <w:rsid w:val="00DF2707"/>
    <w:rsid w:val="00DF4D90"/>
    <w:rsid w:val="00DF5EBD"/>
    <w:rsid w:val="00DF6BA8"/>
    <w:rsid w:val="00DF7786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ED7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A42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549"/>
    <w:rsid w:val="00E55DA0"/>
    <w:rsid w:val="00E56033"/>
    <w:rsid w:val="00E61159"/>
    <w:rsid w:val="00E625DA"/>
    <w:rsid w:val="00E634DC"/>
    <w:rsid w:val="00E63C76"/>
    <w:rsid w:val="00E667F3"/>
    <w:rsid w:val="00E67794"/>
    <w:rsid w:val="00E70CC6"/>
    <w:rsid w:val="00E71254"/>
    <w:rsid w:val="00E7371F"/>
    <w:rsid w:val="00E73CCD"/>
    <w:rsid w:val="00E76453"/>
    <w:rsid w:val="00E77353"/>
    <w:rsid w:val="00E775AE"/>
    <w:rsid w:val="00E80B23"/>
    <w:rsid w:val="00E8272C"/>
    <w:rsid w:val="00E827C7"/>
    <w:rsid w:val="00E8492C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9E1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0B5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AC6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ED4"/>
    <w:rsid w:val="00FC726C"/>
    <w:rsid w:val="00FD1B4B"/>
    <w:rsid w:val="00FD1B94"/>
    <w:rsid w:val="00FD755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48ADED-299C-482A-AA79-F063FF90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5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5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52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2A9"/>
    <w:rPr>
      <w:b/>
      <w:bCs/>
    </w:rPr>
  </w:style>
  <w:style w:type="character" w:styleId="Hyperlink">
    <w:name w:val="Hyperlink"/>
    <w:basedOn w:val="DefaultParagraphFont"/>
    <w:unhideWhenUsed/>
    <w:rsid w:val="00A552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C7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C24F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4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2795</Characters>
  <Application>Microsoft Office Word</Application>
  <DocSecurity>4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HB01315 (Committee Report (Unamended))</vt:lpstr>
    </vt:vector>
  </TitlesOfParts>
  <Company>State of Texas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20293</dc:subject>
  <dc:creator>State of Texas</dc:creator>
  <dc:description>HB 1315 by Herrero-(H)Defense &amp; Veterans' Affairs</dc:description>
  <cp:lastModifiedBy>Stacey Nicchio</cp:lastModifiedBy>
  <cp:revision>2</cp:revision>
  <cp:lastPrinted>2003-11-26T17:21:00Z</cp:lastPrinted>
  <dcterms:created xsi:type="dcterms:W3CDTF">2023-03-27T21:17:00Z</dcterms:created>
  <dcterms:modified xsi:type="dcterms:W3CDTF">2023-03-27T21:17:00Z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23.83.930</vt:lpwstr>
  </property>
</Properties>
</file>