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65541" w14:paraId="0FB323A1" w14:textId="77777777" w:rsidTr="00345119">
        <w:tc>
          <w:tcPr>
            <w:tcW w:w="9576" w:type="dxa"/>
            <w:noWrap/>
          </w:tcPr>
          <w:p w14:paraId="3111B756" w14:textId="77777777" w:rsidR="008423E4" w:rsidRPr="0022177D" w:rsidRDefault="006A49CA" w:rsidP="00EA7B33">
            <w:pPr>
              <w:pStyle w:val="Heading1"/>
            </w:pPr>
            <w:r w:rsidRPr="00631897">
              <w:t>BILL ANALYSIS</w:t>
            </w:r>
          </w:p>
        </w:tc>
      </w:tr>
    </w:tbl>
    <w:p w14:paraId="666A929B" w14:textId="77777777" w:rsidR="008423E4" w:rsidRPr="0022177D" w:rsidRDefault="008423E4" w:rsidP="00EA7B33">
      <w:pPr>
        <w:jc w:val="center"/>
      </w:pPr>
    </w:p>
    <w:p w14:paraId="21872A37" w14:textId="77777777" w:rsidR="008423E4" w:rsidRPr="00B31F0E" w:rsidRDefault="008423E4" w:rsidP="00EA7B33"/>
    <w:p w14:paraId="596B34A7" w14:textId="77777777" w:rsidR="008423E4" w:rsidRPr="00742794" w:rsidRDefault="008423E4" w:rsidP="00EA7B33">
      <w:pPr>
        <w:tabs>
          <w:tab w:val="right" w:pos="9360"/>
        </w:tabs>
      </w:pPr>
    </w:p>
    <w:tbl>
      <w:tblPr>
        <w:tblW w:w="0" w:type="auto"/>
        <w:tblLayout w:type="fixed"/>
        <w:tblLook w:val="01E0" w:firstRow="1" w:lastRow="1" w:firstColumn="1" w:lastColumn="1" w:noHBand="0" w:noVBand="0"/>
      </w:tblPr>
      <w:tblGrid>
        <w:gridCol w:w="9576"/>
      </w:tblGrid>
      <w:tr w:rsidR="00B65541" w14:paraId="41AEF2FD" w14:textId="77777777" w:rsidTr="00345119">
        <w:tc>
          <w:tcPr>
            <w:tcW w:w="9576" w:type="dxa"/>
          </w:tcPr>
          <w:p w14:paraId="00CFDF1C" w14:textId="4A5FF44D" w:rsidR="008423E4" w:rsidRPr="00861995" w:rsidRDefault="006A49CA" w:rsidP="00EA7B33">
            <w:pPr>
              <w:jc w:val="right"/>
            </w:pPr>
            <w:r>
              <w:t>C.S.H.B. 1322</w:t>
            </w:r>
          </w:p>
        </w:tc>
      </w:tr>
      <w:tr w:rsidR="00B65541" w14:paraId="4DBAE596" w14:textId="77777777" w:rsidTr="00345119">
        <w:tc>
          <w:tcPr>
            <w:tcW w:w="9576" w:type="dxa"/>
          </w:tcPr>
          <w:p w14:paraId="6FACA821" w14:textId="6A048345" w:rsidR="008423E4" w:rsidRPr="00861995" w:rsidRDefault="006A49CA" w:rsidP="00EA7B33">
            <w:pPr>
              <w:jc w:val="right"/>
            </w:pPr>
            <w:r>
              <w:t xml:space="preserve">By: </w:t>
            </w:r>
            <w:r w:rsidR="00DD1C85">
              <w:t>Buckley</w:t>
            </w:r>
          </w:p>
        </w:tc>
      </w:tr>
      <w:tr w:rsidR="00B65541" w14:paraId="12446A6B" w14:textId="77777777" w:rsidTr="00345119">
        <w:tc>
          <w:tcPr>
            <w:tcW w:w="9576" w:type="dxa"/>
          </w:tcPr>
          <w:p w14:paraId="16067F0A" w14:textId="43D3592B" w:rsidR="008423E4" w:rsidRPr="00861995" w:rsidRDefault="006A49CA" w:rsidP="00EA7B33">
            <w:pPr>
              <w:jc w:val="right"/>
            </w:pPr>
            <w:r>
              <w:t>Insurance</w:t>
            </w:r>
          </w:p>
        </w:tc>
      </w:tr>
      <w:tr w:rsidR="00B65541" w14:paraId="287CED3B" w14:textId="77777777" w:rsidTr="00345119">
        <w:tc>
          <w:tcPr>
            <w:tcW w:w="9576" w:type="dxa"/>
          </w:tcPr>
          <w:p w14:paraId="65B33ECB" w14:textId="5E04DAC0" w:rsidR="008423E4" w:rsidRDefault="006A49CA" w:rsidP="00EA7B33">
            <w:pPr>
              <w:jc w:val="right"/>
            </w:pPr>
            <w:r>
              <w:t>Committee Report (Substituted)</w:t>
            </w:r>
          </w:p>
        </w:tc>
      </w:tr>
    </w:tbl>
    <w:p w14:paraId="5BA5B118" w14:textId="77777777" w:rsidR="008423E4" w:rsidRDefault="008423E4" w:rsidP="00EA7B33">
      <w:pPr>
        <w:tabs>
          <w:tab w:val="right" w:pos="9360"/>
        </w:tabs>
      </w:pPr>
    </w:p>
    <w:p w14:paraId="7E87DC8D" w14:textId="77777777" w:rsidR="008423E4" w:rsidRDefault="008423E4" w:rsidP="00EA7B33"/>
    <w:p w14:paraId="3D251093" w14:textId="77777777" w:rsidR="008423E4" w:rsidRDefault="008423E4" w:rsidP="00EA7B33"/>
    <w:tbl>
      <w:tblPr>
        <w:tblW w:w="0" w:type="auto"/>
        <w:tblCellMar>
          <w:left w:w="115" w:type="dxa"/>
          <w:right w:w="115" w:type="dxa"/>
        </w:tblCellMar>
        <w:tblLook w:val="01E0" w:firstRow="1" w:lastRow="1" w:firstColumn="1" w:lastColumn="1" w:noHBand="0" w:noVBand="0"/>
      </w:tblPr>
      <w:tblGrid>
        <w:gridCol w:w="9360"/>
      </w:tblGrid>
      <w:tr w:rsidR="00B65541" w14:paraId="63062039" w14:textId="77777777" w:rsidTr="00345119">
        <w:tc>
          <w:tcPr>
            <w:tcW w:w="9576" w:type="dxa"/>
          </w:tcPr>
          <w:p w14:paraId="51F99AE9" w14:textId="77777777" w:rsidR="008423E4" w:rsidRPr="00A8133F" w:rsidRDefault="006A49CA" w:rsidP="00EA7B33">
            <w:pPr>
              <w:rPr>
                <w:b/>
              </w:rPr>
            </w:pPr>
            <w:r w:rsidRPr="009C1E9A">
              <w:rPr>
                <w:b/>
                <w:u w:val="single"/>
              </w:rPr>
              <w:t>BACKGROUND AND PURPOSE</w:t>
            </w:r>
            <w:r>
              <w:rPr>
                <w:b/>
              </w:rPr>
              <w:t xml:space="preserve"> </w:t>
            </w:r>
          </w:p>
          <w:p w14:paraId="6FB8CFBB" w14:textId="77777777" w:rsidR="008423E4" w:rsidRDefault="008423E4" w:rsidP="00EA7B33"/>
          <w:p w14:paraId="5E6A7AB7" w14:textId="78F9EA7D" w:rsidR="00377BB4" w:rsidRDefault="006A49CA" w:rsidP="00EA7B33">
            <w:pPr>
              <w:pStyle w:val="Header"/>
              <w:tabs>
                <w:tab w:val="clear" w:pos="4320"/>
                <w:tab w:val="clear" w:pos="8640"/>
              </w:tabs>
              <w:jc w:val="both"/>
            </w:pPr>
            <w:r>
              <w:t xml:space="preserve">Usually, a patient has </w:t>
            </w:r>
            <w:r w:rsidR="003057E9" w:rsidRPr="003057E9">
              <w:t xml:space="preserve">medical insurance with a medical benefit plan and a vision care benefit from a separate vision benefit plan company. </w:t>
            </w:r>
            <w:r w:rsidR="00A87D0A">
              <w:t>S</w:t>
            </w:r>
            <w:r w:rsidR="003057E9" w:rsidRPr="003057E9">
              <w:t xml:space="preserve">ome vision benefit plan </w:t>
            </w:r>
            <w:r w:rsidR="00A87D0A">
              <w:t>issuer</w:t>
            </w:r>
            <w:r w:rsidR="003057E9" w:rsidRPr="003057E9">
              <w:t>s do not allow patients to have their benefits coordinated with the</w:t>
            </w:r>
            <w:r w:rsidR="00A87D0A">
              <w:t xml:space="preserve"> patient's</w:t>
            </w:r>
            <w:r w:rsidR="003057E9" w:rsidRPr="003057E9">
              <w:t xml:space="preserve"> medical plan. </w:t>
            </w:r>
            <w:r w:rsidR="00A87D0A">
              <w:t>Currently there are</w:t>
            </w:r>
            <w:r w:rsidR="003057E9" w:rsidRPr="003057E9">
              <w:t xml:space="preserve"> statute</w:t>
            </w:r>
            <w:r w:rsidR="00A87D0A">
              <w:t>s</w:t>
            </w:r>
            <w:r w:rsidR="003057E9" w:rsidRPr="003057E9">
              <w:t xml:space="preserve"> and regulations that define how benefits are coordinated between two medical plans and two dental plans</w:t>
            </w:r>
            <w:r w:rsidR="00A87D0A">
              <w:t>, however</w:t>
            </w:r>
            <w:r w:rsidR="003057E9" w:rsidRPr="003057E9">
              <w:t xml:space="preserve">, statute does not exist for the specific scenarios involving how vision benefit plans should coordinate benefits with medical insurance plans. </w:t>
            </w:r>
            <w:r w:rsidR="00A87D0A">
              <w:t>C.S.</w:t>
            </w:r>
            <w:r w:rsidR="003057E9" w:rsidRPr="003057E9">
              <w:t>H</w:t>
            </w:r>
            <w:r w:rsidR="00A87D0A">
              <w:t>.</w:t>
            </w:r>
            <w:r w:rsidR="003057E9" w:rsidRPr="003057E9">
              <w:t>B</w:t>
            </w:r>
            <w:r w:rsidR="00A87D0A">
              <w:t>.</w:t>
            </w:r>
            <w:r w:rsidR="003057E9" w:rsidRPr="003057E9">
              <w:t xml:space="preserve"> 1322 </w:t>
            </w:r>
            <w:r w:rsidR="00A87D0A">
              <w:t>seeks to</w:t>
            </w:r>
            <w:r w:rsidR="003057E9" w:rsidRPr="003057E9">
              <w:t xml:space="preserve"> help patients by making it easier for them</w:t>
            </w:r>
            <w:r w:rsidR="00EA7FD2">
              <w:t xml:space="preserve"> to coordinate their sources of health coverage</w:t>
            </w:r>
            <w:r w:rsidR="003057E9" w:rsidRPr="003057E9">
              <w:t xml:space="preserve"> </w:t>
            </w:r>
            <w:r w:rsidR="00EA7FD2">
              <w:t xml:space="preserve">so that they may </w:t>
            </w:r>
            <w:r w:rsidR="003057E9" w:rsidRPr="003057E9">
              <w:t>use all of their coverages up to their coverage limits at the time of service without having to make multiple visits to the eye doctor or paying multiple copays, deductibles</w:t>
            </w:r>
            <w:r w:rsidR="00A87D0A">
              <w:t>,</w:t>
            </w:r>
            <w:r w:rsidR="003057E9" w:rsidRPr="003057E9">
              <w:t xml:space="preserve"> and coinsurance amounts</w:t>
            </w:r>
            <w:r w:rsidR="00A87D0A">
              <w:t>.</w:t>
            </w:r>
          </w:p>
          <w:p w14:paraId="29CAC577" w14:textId="77777777" w:rsidR="008423E4" w:rsidRPr="00E26B13" w:rsidRDefault="008423E4" w:rsidP="00EA7B33">
            <w:pPr>
              <w:pStyle w:val="Header"/>
              <w:tabs>
                <w:tab w:val="clear" w:pos="4320"/>
                <w:tab w:val="clear" w:pos="8640"/>
              </w:tabs>
              <w:jc w:val="both"/>
              <w:rPr>
                <w:b/>
              </w:rPr>
            </w:pPr>
          </w:p>
        </w:tc>
      </w:tr>
      <w:tr w:rsidR="00B65541" w14:paraId="0DA96A6F" w14:textId="77777777" w:rsidTr="00345119">
        <w:tc>
          <w:tcPr>
            <w:tcW w:w="9576" w:type="dxa"/>
          </w:tcPr>
          <w:p w14:paraId="7D0F1B2C" w14:textId="77777777" w:rsidR="0017725B" w:rsidRDefault="006A49CA" w:rsidP="00EA7B33">
            <w:pPr>
              <w:rPr>
                <w:b/>
                <w:u w:val="single"/>
              </w:rPr>
            </w:pPr>
            <w:r>
              <w:rPr>
                <w:b/>
                <w:u w:val="single"/>
              </w:rPr>
              <w:t>CRIMINAL JUSTICE IMPACT</w:t>
            </w:r>
          </w:p>
          <w:p w14:paraId="4792597A" w14:textId="77777777" w:rsidR="0017725B" w:rsidRDefault="0017725B" w:rsidP="00EA7B33">
            <w:pPr>
              <w:rPr>
                <w:b/>
                <w:u w:val="single"/>
              </w:rPr>
            </w:pPr>
          </w:p>
          <w:p w14:paraId="7A8B0000" w14:textId="79437D15" w:rsidR="00904715" w:rsidRDefault="006A49CA" w:rsidP="00EA7B33">
            <w:pPr>
              <w:jc w:val="both"/>
            </w:pPr>
            <w:r>
              <w:t>It is the committee's opinion that this bill does not expressly create a criminal offense, increase the punishment for an existing criminal of</w:t>
            </w:r>
            <w:r>
              <w:t>fense or category of offenses, or change the eligibility of a person for community supervision, parole, or mandatory supervision.</w:t>
            </w:r>
          </w:p>
          <w:p w14:paraId="36704F92" w14:textId="77777777" w:rsidR="0017725B" w:rsidRPr="0017725B" w:rsidRDefault="0017725B" w:rsidP="00EA7B33">
            <w:pPr>
              <w:rPr>
                <w:b/>
                <w:u w:val="single"/>
              </w:rPr>
            </w:pPr>
          </w:p>
        </w:tc>
      </w:tr>
      <w:tr w:rsidR="00B65541" w14:paraId="3D75E4AF" w14:textId="77777777" w:rsidTr="00345119">
        <w:tc>
          <w:tcPr>
            <w:tcW w:w="9576" w:type="dxa"/>
          </w:tcPr>
          <w:p w14:paraId="3764E85C" w14:textId="77777777" w:rsidR="008423E4" w:rsidRPr="00A8133F" w:rsidRDefault="006A49CA" w:rsidP="00EA7B33">
            <w:pPr>
              <w:rPr>
                <w:b/>
              </w:rPr>
            </w:pPr>
            <w:r w:rsidRPr="009C1E9A">
              <w:rPr>
                <w:b/>
                <w:u w:val="single"/>
              </w:rPr>
              <w:t>RULEMAKING AUTHORITY</w:t>
            </w:r>
            <w:r>
              <w:rPr>
                <w:b/>
              </w:rPr>
              <w:t xml:space="preserve"> </w:t>
            </w:r>
          </w:p>
          <w:p w14:paraId="3532E891" w14:textId="77777777" w:rsidR="008423E4" w:rsidRDefault="008423E4" w:rsidP="00EA7B33"/>
          <w:p w14:paraId="639390B3" w14:textId="410BAEE7" w:rsidR="008423E4" w:rsidRDefault="006A49CA" w:rsidP="00EA7B33">
            <w:pPr>
              <w:pStyle w:val="Header"/>
              <w:tabs>
                <w:tab w:val="clear" w:pos="4320"/>
                <w:tab w:val="clear" w:pos="8640"/>
              </w:tabs>
              <w:jc w:val="both"/>
              <w:rPr>
                <w:b/>
              </w:rPr>
            </w:pPr>
            <w:r>
              <w:t xml:space="preserve">It is the committee's opinion that rulemaking authority is expressly granted to the </w:t>
            </w:r>
            <w:r w:rsidR="00593549">
              <w:t xml:space="preserve">commissioner of insurance </w:t>
            </w:r>
            <w:r>
              <w:t xml:space="preserve">in </w:t>
            </w:r>
            <w:r w:rsidR="00593549">
              <w:t>SECTION 1</w:t>
            </w:r>
            <w:r>
              <w:t xml:space="preserve"> of this bill.</w:t>
            </w:r>
          </w:p>
          <w:p w14:paraId="0695D76B" w14:textId="360471EE" w:rsidR="00377BB4" w:rsidRPr="00E21FDC" w:rsidRDefault="00377BB4" w:rsidP="00EA7B33">
            <w:pPr>
              <w:pStyle w:val="Header"/>
              <w:tabs>
                <w:tab w:val="clear" w:pos="4320"/>
                <w:tab w:val="clear" w:pos="8640"/>
              </w:tabs>
              <w:jc w:val="both"/>
              <w:rPr>
                <w:b/>
              </w:rPr>
            </w:pPr>
          </w:p>
        </w:tc>
      </w:tr>
      <w:tr w:rsidR="00B65541" w14:paraId="0A789DA4" w14:textId="77777777" w:rsidTr="00345119">
        <w:tc>
          <w:tcPr>
            <w:tcW w:w="9576" w:type="dxa"/>
          </w:tcPr>
          <w:p w14:paraId="6ED2EBFB" w14:textId="77777777" w:rsidR="008423E4" w:rsidRPr="00A8133F" w:rsidRDefault="006A49CA" w:rsidP="00EA7B33">
            <w:pPr>
              <w:rPr>
                <w:b/>
              </w:rPr>
            </w:pPr>
            <w:r w:rsidRPr="009C1E9A">
              <w:rPr>
                <w:b/>
                <w:u w:val="single"/>
              </w:rPr>
              <w:t>ANALYSIS</w:t>
            </w:r>
            <w:r>
              <w:rPr>
                <w:b/>
              </w:rPr>
              <w:t xml:space="preserve"> </w:t>
            </w:r>
          </w:p>
          <w:p w14:paraId="2CB3F74B" w14:textId="77777777" w:rsidR="008423E4" w:rsidRDefault="008423E4" w:rsidP="00EA7B33"/>
          <w:p w14:paraId="49B2988B" w14:textId="47680F74" w:rsidR="00F46C88" w:rsidRDefault="006A49CA" w:rsidP="00EA7B33">
            <w:pPr>
              <w:pStyle w:val="Header"/>
              <w:tabs>
                <w:tab w:val="clear" w:pos="4320"/>
                <w:tab w:val="clear" w:pos="8640"/>
              </w:tabs>
              <w:jc w:val="both"/>
            </w:pPr>
            <w:r>
              <w:t>C.S.</w:t>
            </w:r>
            <w:r w:rsidR="00B3104C">
              <w:t xml:space="preserve">H.B. 1322 amends the Insurance Code </w:t>
            </w:r>
            <w:r w:rsidR="00E64BD2">
              <w:t>to</w:t>
            </w:r>
            <w:r w:rsidR="00683300">
              <w:t xml:space="preserve"> </w:t>
            </w:r>
            <w:r w:rsidR="00597B91">
              <w:t xml:space="preserve">set out </w:t>
            </w:r>
            <w:r w:rsidR="00683300">
              <w:t>provisions regarding the coordination of</w:t>
            </w:r>
            <w:r w:rsidR="00527215">
              <w:t xml:space="preserve"> </w:t>
            </w:r>
            <w:r w:rsidR="00683300">
              <w:t xml:space="preserve">vision benefits under </w:t>
            </w:r>
            <w:r w:rsidR="00E2563B">
              <w:t xml:space="preserve">certain benefit plans offered by benefit plan </w:t>
            </w:r>
            <w:r w:rsidR="00635B6D">
              <w:t xml:space="preserve">issuers </w:t>
            </w:r>
            <w:r w:rsidR="00E2563B">
              <w:t>specified by the bill</w:t>
            </w:r>
            <w:r w:rsidR="001B581F">
              <w:t xml:space="preserve"> </w:t>
            </w:r>
            <w:r w:rsidR="00E2563B">
              <w:t>a</w:t>
            </w:r>
            <w:r w:rsidR="002E7B00">
              <w:t>pplicable</w:t>
            </w:r>
            <w:r w:rsidR="00E2563B">
              <w:t xml:space="preserve"> to a</w:t>
            </w:r>
            <w:r w:rsidR="00683300">
              <w:t xml:space="preserve"> vision benefit plan or </w:t>
            </w:r>
            <w:r w:rsidR="00527215">
              <w:t>a health benefit plan</w:t>
            </w:r>
            <w:r w:rsidR="00683300">
              <w:t xml:space="preserve"> that provides or arranges for benefits for vision or medical eye care services, procedures, or products</w:t>
            </w:r>
            <w:r w:rsidR="00E2563B">
              <w:t>.</w:t>
            </w:r>
            <w:r w:rsidR="00077A8C">
              <w:t xml:space="preserve"> </w:t>
            </w:r>
            <w:r w:rsidR="00D30C27">
              <w:t xml:space="preserve">The </w:t>
            </w:r>
            <w:r w:rsidR="00691599">
              <w:t>bill provides for the following</w:t>
            </w:r>
            <w:r w:rsidR="00D30C27" w:rsidRPr="000970D9">
              <w:t xml:space="preserve"> if a benefit plan enrollee is covered by at least two different </w:t>
            </w:r>
            <w:r w:rsidR="00E2563B">
              <w:t xml:space="preserve">applicable </w:t>
            </w:r>
            <w:r w:rsidR="00635B6D">
              <w:t xml:space="preserve">health </w:t>
            </w:r>
            <w:r w:rsidR="00D30C27" w:rsidRPr="000970D9">
              <w:t xml:space="preserve">benefit plans </w:t>
            </w:r>
            <w:r w:rsidR="003A5A25">
              <w:t xml:space="preserve">or vision benefit plans and each plan provides the enrollee </w:t>
            </w:r>
            <w:r w:rsidR="004F2AB4">
              <w:t>coverage</w:t>
            </w:r>
            <w:r w:rsidR="003A5A25">
              <w:t xml:space="preserve"> for the same vision or medical eye care services, procedures, or products</w:t>
            </w:r>
            <w:r w:rsidR="00D30C27">
              <w:t>:</w:t>
            </w:r>
          </w:p>
          <w:p w14:paraId="24CE929D" w14:textId="07BFBF2A" w:rsidR="00D30C27" w:rsidRDefault="006A49CA" w:rsidP="00EA7B33">
            <w:pPr>
              <w:pStyle w:val="Header"/>
              <w:numPr>
                <w:ilvl w:val="0"/>
                <w:numId w:val="3"/>
              </w:numPr>
              <w:tabs>
                <w:tab w:val="clear" w:pos="4320"/>
                <w:tab w:val="clear" w:pos="8640"/>
              </w:tabs>
              <w:jc w:val="both"/>
            </w:pPr>
            <w:r>
              <w:t>a</w:t>
            </w:r>
            <w:r w:rsidR="00294FF9">
              <w:t>n</w:t>
            </w:r>
            <w:r w:rsidR="000970D9" w:rsidRPr="000970D9">
              <w:t xml:space="preserve"> </w:t>
            </w:r>
            <w:r w:rsidR="003A5A25">
              <w:t xml:space="preserve">issuer of the primary health </w:t>
            </w:r>
            <w:r w:rsidR="000970D9" w:rsidRPr="000970D9">
              <w:t xml:space="preserve">benefit plan </w:t>
            </w:r>
            <w:r w:rsidR="003A5A25">
              <w:t>or vision benefit plan, as determined under a coordination of benefits provision applicable to the plan</w:t>
            </w:r>
            <w:r w:rsidR="00294FF9">
              <w:t>,</w:t>
            </w:r>
            <w:r w:rsidR="003A5A25">
              <w:t xml:space="preserve"> is responsible </w:t>
            </w:r>
            <w:r w:rsidR="000970D9" w:rsidRPr="000970D9">
              <w:t>for eye care expenses covered under the plan up to the full amount of any</w:t>
            </w:r>
            <w:r w:rsidR="00887965">
              <w:t xml:space="preserve"> plan</w:t>
            </w:r>
            <w:r w:rsidR="000970D9" w:rsidRPr="000970D9">
              <w:t xml:space="preserve"> coverage limit applicable to the covered eye care expenses</w:t>
            </w:r>
            <w:r>
              <w:t>;</w:t>
            </w:r>
          </w:p>
          <w:p w14:paraId="06EB0157" w14:textId="62156B06" w:rsidR="00EC7411" w:rsidRDefault="006A49CA" w:rsidP="00EA7B33">
            <w:pPr>
              <w:pStyle w:val="Header"/>
              <w:numPr>
                <w:ilvl w:val="0"/>
                <w:numId w:val="3"/>
              </w:numPr>
              <w:tabs>
                <w:tab w:val="clear" w:pos="4320"/>
                <w:tab w:val="clear" w:pos="8640"/>
              </w:tabs>
              <w:jc w:val="both"/>
            </w:pPr>
            <w:r>
              <w:t>the issuer of a secondary health benefit plan or vision benefit plan,</w:t>
            </w:r>
            <w:r w:rsidR="00294FF9">
              <w:t xml:space="preserve"> before the </w:t>
            </w:r>
            <w:r w:rsidR="00294FF9" w:rsidRPr="000970D9">
              <w:t xml:space="preserve">plan </w:t>
            </w:r>
            <w:r w:rsidR="00294FF9">
              <w:t>coverage limit is reached,</w:t>
            </w:r>
            <w:r>
              <w:t xml:space="preserve"> is responsible only </w:t>
            </w:r>
            <w:r w:rsidR="000970D9" w:rsidRPr="000970D9">
              <w:t xml:space="preserve">for eye care expenses covered under the plan that are not </w:t>
            </w:r>
            <w:r w:rsidR="00B33870">
              <w:t xml:space="preserve">covered under the health or vision </w:t>
            </w:r>
            <w:r w:rsidR="000970D9" w:rsidRPr="000970D9">
              <w:t>benefit plan</w:t>
            </w:r>
            <w:r w:rsidR="00B33870">
              <w:t xml:space="preserve"> issued by the primary plan issuer</w:t>
            </w:r>
            <w:r w:rsidR="00294FF9">
              <w:t>;</w:t>
            </w:r>
          </w:p>
          <w:p w14:paraId="733ACC1B" w14:textId="32B6478E" w:rsidR="00691599" w:rsidRDefault="006A49CA" w:rsidP="00EA7B33">
            <w:pPr>
              <w:pStyle w:val="Header"/>
              <w:numPr>
                <w:ilvl w:val="0"/>
                <w:numId w:val="3"/>
              </w:numPr>
              <w:tabs>
                <w:tab w:val="clear" w:pos="4320"/>
                <w:tab w:val="clear" w:pos="8640"/>
              </w:tabs>
              <w:jc w:val="both"/>
            </w:pPr>
            <w:r w:rsidRPr="00EC7411">
              <w:t>the secondary plan issuer</w:t>
            </w:r>
            <w:r w:rsidR="00294FF9">
              <w:t xml:space="preserve">, </w:t>
            </w:r>
            <w:r w:rsidR="00294FF9" w:rsidRPr="00294FF9">
              <w:t xml:space="preserve">after the </w:t>
            </w:r>
            <w:r w:rsidR="00635B6D">
              <w:t xml:space="preserve">primary </w:t>
            </w:r>
            <w:r w:rsidR="00294FF9" w:rsidRPr="00294FF9">
              <w:t>plan coverage limit has been reached</w:t>
            </w:r>
            <w:r w:rsidR="00294FF9">
              <w:t>,</w:t>
            </w:r>
            <w:r>
              <w:t xml:space="preserve"> </w:t>
            </w:r>
            <w:r w:rsidRPr="00EC7411">
              <w:t xml:space="preserve">is </w:t>
            </w:r>
            <w:r w:rsidR="00294FF9">
              <w:t xml:space="preserve">also </w:t>
            </w:r>
            <w:r w:rsidRPr="00EC7411">
              <w:t>responsible for any eye care expenses covered by both plans that exc</w:t>
            </w:r>
            <w:r w:rsidRPr="00EC7411">
              <w:t xml:space="preserve">eed the </w:t>
            </w:r>
            <w:r w:rsidR="00635B6D">
              <w:t xml:space="preserve">primary </w:t>
            </w:r>
            <w:r w:rsidRPr="00EC7411">
              <w:t>plan coverage limit up to the coverage limit of the secondary plan</w:t>
            </w:r>
            <w:r>
              <w:t>;</w:t>
            </w:r>
          </w:p>
          <w:p w14:paraId="01692ED8" w14:textId="3B11E1C4" w:rsidR="00691599" w:rsidRDefault="006A49CA" w:rsidP="00EA7B33">
            <w:pPr>
              <w:pStyle w:val="Header"/>
              <w:numPr>
                <w:ilvl w:val="0"/>
                <w:numId w:val="3"/>
              </w:numPr>
              <w:tabs>
                <w:tab w:val="clear" w:pos="4320"/>
                <w:tab w:val="clear" w:pos="8640"/>
              </w:tabs>
              <w:jc w:val="both"/>
            </w:pPr>
            <w:r>
              <w:t>t</w:t>
            </w:r>
            <w:r w:rsidR="00DD16F3">
              <w:t xml:space="preserve">he </w:t>
            </w:r>
            <w:r w:rsidR="00EC7411">
              <w:t>enrollee may use each plan on the same date of service up to the coverage limit of each plan</w:t>
            </w:r>
            <w:r w:rsidR="00DD16F3">
              <w:t xml:space="preserve"> w</w:t>
            </w:r>
            <w:r w:rsidR="00DD16F3" w:rsidRPr="00EC7411">
              <w:t>hen an enrollee is covered by more than one health benefit plan or vision benefit plan that provides benefits</w:t>
            </w:r>
            <w:r w:rsidR="00DD16F3">
              <w:t xml:space="preserve"> for </w:t>
            </w:r>
            <w:r w:rsidR="00635B6D">
              <w:t xml:space="preserve">eye </w:t>
            </w:r>
            <w:r w:rsidR="00DD16F3">
              <w:t>care expenses</w:t>
            </w:r>
            <w:r>
              <w:t>;</w:t>
            </w:r>
          </w:p>
          <w:p w14:paraId="49F2C1A4" w14:textId="77777777" w:rsidR="00691599" w:rsidRDefault="006A49CA" w:rsidP="00EA7B33">
            <w:pPr>
              <w:pStyle w:val="Header"/>
              <w:numPr>
                <w:ilvl w:val="0"/>
                <w:numId w:val="3"/>
              </w:numPr>
              <w:tabs>
                <w:tab w:val="clear" w:pos="4320"/>
                <w:tab w:val="clear" w:pos="8640"/>
              </w:tabs>
              <w:jc w:val="both"/>
            </w:pPr>
            <w:r w:rsidRPr="00691599">
              <w:t xml:space="preserve">a vision benefit plan issuer </w:t>
            </w:r>
            <w:r>
              <w:t>must</w:t>
            </w:r>
            <w:r w:rsidRPr="00691599">
              <w:t xml:space="preserve"> coordinate benefits with a health benefit plan issuer if both provide benefits for eye care expenses</w:t>
            </w:r>
            <w:r>
              <w:t>;</w:t>
            </w:r>
          </w:p>
          <w:p w14:paraId="0CEFB967" w14:textId="0D3FF92C" w:rsidR="00691599" w:rsidRDefault="006A49CA" w:rsidP="00EA7B33">
            <w:pPr>
              <w:pStyle w:val="Header"/>
              <w:numPr>
                <w:ilvl w:val="0"/>
                <w:numId w:val="3"/>
              </w:numPr>
              <w:tabs>
                <w:tab w:val="clear" w:pos="4320"/>
                <w:tab w:val="clear" w:pos="8640"/>
              </w:tabs>
              <w:jc w:val="both"/>
            </w:pPr>
            <w:r>
              <w:t xml:space="preserve">a mechanism of </w:t>
            </w:r>
            <w:r w:rsidR="00AC0B12">
              <w:t xml:space="preserve">providing </w:t>
            </w:r>
            <w:r>
              <w:t>proof must be submitted online if th</w:t>
            </w:r>
            <w:r>
              <w:t>e secondary</w:t>
            </w:r>
            <w:r w:rsidR="00820995">
              <w:t xml:space="preserve"> plan</w:t>
            </w:r>
            <w:r>
              <w:t xml:space="preserve"> </w:t>
            </w:r>
            <w:r w:rsidR="00585523">
              <w:t xml:space="preserve">issuer requires </w:t>
            </w:r>
            <w:r w:rsidR="00585523" w:rsidRPr="00585523">
              <w:t>proof that a related claim has been submitted to a primary plan issuer</w:t>
            </w:r>
            <w:r>
              <w:t>;</w:t>
            </w:r>
            <w:r w:rsidR="00E94A78">
              <w:t xml:space="preserve"> and</w:t>
            </w:r>
          </w:p>
          <w:p w14:paraId="610867D3" w14:textId="77777777" w:rsidR="00E94A78" w:rsidRDefault="006A49CA" w:rsidP="00EA7B33">
            <w:pPr>
              <w:pStyle w:val="Header"/>
              <w:numPr>
                <w:ilvl w:val="0"/>
                <w:numId w:val="3"/>
              </w:numPr>
              <w:tabs>
                <w:tab w:val="clear" w:pos="4320"/>
                <w:tab w:val="clear" w:pos="8640"/>
              </w:tabs>
              <w:jc w:val="both"/>
            </w:pPr>
            <w:r>
              <w:t>a</w:t>
            </w:r>
            <w:r w:rsidR="00585523">
              <w:t xml:space="preserve"> </w:t>
            </w:r>
            <w:r w:rsidRPr="00691599">
              <w:t>vision benefit plan issuer may not require a claim denial before adjudicating a claim up to the coverage limit of the plan.</w:t>
            </w:r>
          </w:p>
          <w:p w14:paraId="2EBAFD2C" w14:textId="2AF90974" w:rsidR="00DD16F3" w:rsidRDefault="006A49CA" w:rsidP="00EA7B33">
            <w:pPr>
              <w:pStyle w:val="Header"/>
              <w:tabs>
                <w:tab w:val="clear" w:pos="4320"/>
                <w:tab w:val="clear" w:pos="8640"/>
              </w:tabs>
              <w:jc w:val="both"/>
            </w:pPr>
            <w:r>
              <w:t xml:space="preserve">The bill establishes </w:t>
            </w:r>
            <w:r>
              <w:t xml:space="preserve">that these </w:t>
            </w:r>
            <w:r w:rsidR="00E94A78">
              <w:t>provisions</w:t>
            </w:r>
            <w:r>
              <w:t xml:space="preserve"> do not prevent </w:t>
            </w:r>
            <w:r w:rsidRPr="00585523">
              <w:t>a secondary plan issuer from requiring proof that a related claim has been submitted to a primary plan issuer for purposes of determining the remaining balance up to the secondary plan's coverage limits.</w:t>
            </w:r>
          </w:p>
          <w:p w14:paraId="390195ED" w14:textId="77777777" w:rsidR="00EB6347" w:rsidRDefault="00EB6347" w:rsidP="00EA7B33">
            <w:pPr>
              <w:pStyle w:val="Header"/>
              <w:tabs>
                <w:tab w:val="clear" w:pos="4320"/>
                <w:tab w:val="clear" w:pos="8640"/>
              </w:tabs>
              <w:jc w:val="both"/>
            </w:pPr>
          </w:p>
          <w:p w14:paraId="0F22BC82" w14:textId="5B49D191" w:rsidR="009C36CD" w:rsidRDefault="006A49CA" w:rsidP="00EA7B33">
            <w:pPr>
              <w:pStyle w:val="Header"/>
              <w:tabs>
                <w:tab w:val="clear" w:pos="4320"/>
                <w:tab w:val="clear" w:pos="8640"/>
              </w:tabs>
              <w:jc w:val="both"/>
            </w:pPr>
            <w:r>
              <w:t>C.S.</w:t>
            </w:r>
            <w:r w:rsidR="00EB6347">
              <w:t xml:space="preserve">H.B. 1322 </w:t>
            </w:r>
            <w:r w:rsidR="00E64BD2">
              <w:t>prohibit</w:t>
            </w:r>
            <w:r w:rsidR="00EB6347">
              <w:t>s</w:t>
            </w:r>
            <w:r w:rsidR="00E64BD2">
              <w:t xml:space="preserve"> </w:t>
            </w:r>
            <w:r w:rsidR="007B2C7B">
              <w:t>a</w:t>
            </w:r>
            <w:r w:rsidR="00820995">
              <w:t>n applicable</w:t>
            </w:r>
            <w:r>
              <w:t xml:space="preserve"> health</w:t>
            </w:r>
            <w:r w:rsidR="00882C4B">
              <w:t xml:space="preserve"> </w:t>
            </w:r>
            <w:r w:rsidR="00E64BD2">
              <w:t>benefit plan</w:t>
            </w:r>
            <w:r>
              <w:t xml:space="preserve"> or vision benefit plan</w:t>
            </w:r>
            <w:r w:rsidR="00E64BD2">
              <w:t xml:space="preserve"> from being delivered, issued for delivery, or renewed in Texas</w:t>
            </w:r>
            <w:r w:rsidR="007B2C7B">
              <w:t xml:space="preserve"> </w:t>
            </w:r>
            <w:r w:rsidR="00EB6347">
              <w:t>under</w:t>
            </w:r>
            <w:r w:rsidR="00E64BD2">
              <w:t xml:space="preserve"> the following c</w:t>
            </w:r>
            <w:r w:rsidR="00E94A78">
              <w:t>onditions</w:t>
            </w:r>
            <w:r w:rsidR="00E64BD2">
              <w:t>:</w:t>
            </w:r>
          </w:p>
          <w:p w14:paraId="640CCD97" w14:textId="27905273" w:rsidR="00E64BD2" w:rsidRDefault="006A49CA" w:rsidP="00EA7B33">
            <w:pPr>
              <w:pStyle w:val="Header"/>
              <w:numPr>
                <w:ilvl w:val="0"/>
                <w:numId w:val="1"/>
              </w:numPr>
              <w:jc w:val="both"/>
            </w:pPr>
            <w:r>
              <w:t>a provision of the plan excludes or reduces the payment of benefits for eye care exp</w:t>
            </w:r>
            <w:r>
              <w:t>enses to or on behalf of an enrollee;</w:t>
            </w:r>
          </w:p>
          <w:p w14:paraId="31EB4A0D" w14:textId="36BCE590" w:rsidR="00E64BD2" w:rsidRDefault="006A49CA" w:rsidP="00EA7B33">
            <w:pPr>
              <w:pStyle w:val="Header"/>
              <w:numPr>
                <w:ilvl w:val="0"/>
                <w:numId w:val="1"/>
              </w:numPr>
              <w:jc w:val="both"/>
            </w:pPr>
            <w:r>
              <w:t>the reason for the exclusion or reduction is that eye care benefits are payable or have been paid to or on behalf of the enrollee under another plan; and</w:t>
            </w:r>
          </w:p>
          <w:p w14:paraId="21644A1A" w14:textId="7E25AAA1" w:rsidR="00E64BD2" w:rsidRDefault="006A49CA" w:rsidP="00EA7B33">
            <w:pPr>
              <w:pStyle w:val="Header"/>
              <w:numPr>
                <w:ilvl w:val="0"/>
                <w:numId w:val="1"/>
              </w:numPr>
              <w:tabs>
                <w:tab w:val="clear" w:pos="4320"/>
                <w:tab w:val="clear" w:pos="8640"/>
              </w:tabs>
              <w:jc w:val="both"/>
            </w:pPr>
            <w:r>
              <w:t>the exclusion or reduction would apply before the full amount of</w:t>
            </w:r>
            <w:r>
              <w:t xml:space="preserve"> the eye care expenses incurred by the enrollee and covered by both plans ha</w:t>
            </w:r>
            <w:r w:rsidR="00BE294A">
              <w:t>s</w:t>
            </w:r>
            <w:r>
              <w:t xml:space="preserve"> been paid or reimbursed or the full amount of the applicable coverage limit of the plan containing the exclusion or reduction is reached.</w:t>
            </w:r>
          </w:p>
          <w:p w14:paraId="27BDF36F" w14:textId="23255FED" w:rsidR="00E94A78" w:rsidRDefault="006A49CA" w:rsidP="00EA7B33">
            <w:pPr>
              <w:pStyle w:val="Header"/>
              <w:tabs>
                <w:tab w:val="clear" w:pos="4320"/>
                <w:tab w:val="clear" w:pos="8640"/>
              </w:tabs>
              <w:jc w:val="both"/>
            </w:pPr>
            <w:r>
              <w:t>The bill establishes that this prohibiti</w:t>
            </w:r>
            <w:r>
              <w:t>on does not require a secondary plan issue</w:t>
            </w:r>
            <w:r w:rsidR="00651E57">
              <w:t>r</w:t>
            </w:r>
            <w:r>
              <w:t xml:space="preserve"> </w:t>
            </w:r>
            <w:r w:rsidRPr="0011347A">
              <w:t>to pay an amount that, when added to a payment amount made by a primary plan issuer, would exceed the usual and customary billed charges of the health care provider.</w:t>
            </w:r>
            <w:r>
              <w:t xml:space="preserve"> </w:t>
            </w:r>
          </w:p>
          <w:p w14:paraId="739E1F53" w14:textId="77777777" w:rsidR="00E94A78" w:rsidRDefault="00E94A78" w:rsidP="00EA7B33">
            <w:pPr>
              <w:pStyle w:val="Header"/>
              <w:tabs>
                <w:tab w:val="clear" w:pos="4320"/>
                <w:tab w:val="clear" w:pos="8640"/>
              </w:tabs>
              <w:jc w:val="both"/>
            </w:pPr>
          </w:p>
          <w:p w14:paraId="7953D370" w14:textId="7E0B1A3F" w:rsidR="0062170F" w:rsidRDefault="006A49CA" w:rsidP="00EA7B33">
            <w:pPr>
              <w:pStyle w:val="Header"/>
              <w:tabs>
                <w:tab w:val="clear" w:pos="4320"/>
                <w:tab w:val="clear" w:pos="8640"/>
              </w:tabs>
              <w:jc w:val="both"/>
            </w:pPr>
            <w:r>
              <w:t>C.S.H.B. 1322 establishes that a</w:t>
            </w:r>
            <w:r w:rsidR="00353CDC">
              <w:t xml:space="preserve"> provision of a </w:t>
            </w:r>
            <w:r w:rsidR="0011347A">
              <w:t xml:space="preserve">health or vision </w:t>
            </w:r>
            <w:r w:rsidR="00353CDC">
              <w:t xml:space="preserve">benefit plan that violates the bill's provisions is void. </w:t>
            </w:r>
            <w:r w:rsidR="0011347A">
              <w:t>The bill authorizes the commissioner</w:t>
            </w:r>
            <w:r w:rsidR="000D19CB">
              <w:t xml:space="preserve"> of insurance</w:t>
            </w:r>
            <w:r w:rsidR="0011347A">
              <w:t xml:space="preserve"> to adopt rules necessary to implement the </w:t>
            </w:r>
            <w:r w:rsidR="000D19CB">
              <w:t xml:space="preserve">bill's </w:t>
            </w:r>
            <w:r w:rsidR="0011347A">
              <w:t xml:space="preserve">provisions. </w:t>
            </w:r>
            <w:r w:rsidR="000D19CB">
              <w:t>The bill specifies the types of plans to which its provisions apply and excepts a</w:t>
            </w:r>
            <w:r w:rsidR="000D19CB" w:rsidRPr="000D19CB">
              <w:t xml:space="preserve"> supplemental insurance policy that only pays benefits directly to the policyholder</w:t>
            </w:r>
            <w:r w:rsidR="000D19CB">
              <w:t xml:space="preserve"> from that applicability.</w:t>
            </w:r>
          </w:p>
          <w:p w14:paraId="24768277" w14:textId="77777777" w:rsidR="002C6DED" w:rsidRDefault="002C6DED" w:rsidP="00EA7B33">
            <w:pPr>
              <w:pStyle w:val="Header"/>
              <w:jc w:val="both"/>
            </w:pPr>
          </w:p>
          <w:p w14:paraId="5E903495" w14:textId="6BDDDD6A" w:rsidR="00904715" w:rsidRPr="009C36CD" w:rsidRDefault="006A49CA" w:rsidP="00EA7B33">
            <w:pPr>
              <w:pStyle w:val="Header"/>
              <w:tabs>
                <w:tab w:val="clear" w:pos="4320"/>
                <w:tab w:val="clear" w:pos="8640"/>
              </w:tabs>
              <w:jc w:val="both"/>
            </w:pPr>
            <w:r>
              <w:t>C.S.</w:t>
            </w:r>
            <w:r w:rsidR="00A02236">
              <w:t>H.B. 1322</w:t>
            </w:r>
            <w:r>
              <w:t xml:space="preserve"> applies only to a</w:t>
            </w:r>
            <w:r w:rsidR="00FF5A8B">
              <w:t xml:space="preserve"> health</w:t>
            </w:r>
            <w:r>
              <w:t xml:space="preserve"> benefit plan or vision </w:t>
            </w:r>
            <w:r w:rsidR="00FF5A8B">
              <w:t xml:space="preserve">benefit plan </w:t>
            </w:r>
            <w:r>
              <w:t>that is delivered, issued for delivery,</w:t>
            </w:r>
            <w:r w:rsidR="00A02236">
              <w:t xml:space="preserve"> or</w:t>
            </w:r>
            <w:r>
              <w:t xml:space="preserve"> renewed on or after January 1, 2024. </w:t>
            </w:r>
          </w:p>
          <w:p w14:paraId="42A68CE9" w14:textId="0411759E" w:rsidR="008423E4" w:rsidRPr="00835628" w:rsidRDefault="008423E4" w:rsidP="00EA7B33">
            <w:pPr>
              <w:rPr>
                <w:b/>
              </w:rPr>
            </w:pPr>
          </w:p>
        </w:tc>
      </w:tr>
      <w:tr w:rsidR="00B65541" w14:paraId="75FDA95B" w14:textId="77777777" w:rsidTr="00345119">
        <w:tc>
          <w:tcPr>
            <w:tcW w:w="9576" w:type="dxa"/>
          </w:tcPr>
          <w:p w14:paraId="50444BA2" w14:textId="77777777" w:rsidR="008423E4" w:rsidRPr="00A8133F" w:rsidRDefault="006A49CA" w:rsidP="00EA7B33">
            <w:pPr>
              <w:rPr>
                <w:b/>
              </w:rPr>
            </w:pPr>
            <w:r w:rsidRPr="009C1E9A">
              <w:rPr>
                <w:b/>
                <w:u w:val="single"/>
              </w:rPr>
              <w:t>EFFECTIVE DATE</w:t>
            </w:r>
            <w:r>
              <w:rPr>
                <w:b/>
              </w:rPr>
              <w:t xml:space="preserve"> </w:t>
            </w:r>
          </w:p>
          <w:p w14:paraId="67166263" w14:textId="77777777" w:rsidR="008423E4" w:rsidRDefault="008423E4" w:rsidP="00EA7B33"/>
          <w:p w14:paraId="60C95651" w14:textId="77353766" w:rsidR="008423E4" w:rsidRPr="003624F2" w:rsidRDefault="006A49CA" w:rsidP="00EA7B33">
            <w:pPr>
              <w:pStyle w:val="Header"/>
              <w:tabs>
                <w:tab w:val="clear" w:pos="4320"/>
                <w:tab w:val="clear" w:pos="8640"/>
              </w:tabs>
              <w:jc w:val="both"/>
            </w:pPr>
            <w:r>
              <w:t>September 1, 2023.</w:t>
            </w:r>
          </w:p>
          <w:p w14:paraId="27013FEA" w14:textId="77777777" w:rsidR="008423E4" w:rsidRPr="00233FDB" w:rsidRDefault="008423E4" w:rsidP="00EA7B33">
            <w:pPr>
              <w:rPr>
                <w:b/>
              </w:rPr>
            </w:pPr>
          </w:p>
        </w:tc>
      </w:tr>
      <w:tr w:rsidR="00B65541" w14:paraId="65B33B1E" w14:textId="77777777" w:rsidTr="00345119">
        <w:tc>
          <w:tcPr>
            <w:tcW w:w="9576" w:type="dxa"/>
          </w:tcPr>
          <w:p w14:paraId="1DEBBB94" w14:textId="77777777" w:rsidR="00DD1C85" w:rsidRDefault="006A49CA" w:rsidP="00EA7B33">
            <w:pPr>
              <w:jc w:val="both"/>
              <w:rPr>
                <w:b/>
                <w:u w:val="single"/>
              </w:rPr>
            </w:pPr>
            <w:r>
              <w:rPr>
                <w:b/>
                <w:u w:val="single"/>
              </w:rPr>
              <w:t>COMPARISON OF INTRODUCED AND SUBSTITUTE</w:t>
            </w:r>
          </w:p>
          <w:p w14:paraId="0AEC154C" w14:textId="77777777" w:rsidR="00077A8C" w:rsidRDefault="00077A8C" w:rsidP="00EA7B33">
            <w:pPr>
              <w:jc w:val="both"/>
            </w:pPr>
          </w:p>
          <w:p w14:paraId="0E0CCD34" w14:textId="4DAFF787" w:rsidR="00077A8C" w:rsidRDefault="006A49CA" w:rsidP="00EA7B33">
            <w:pPr>
              <w:jc w:val="both"/>
            </w:pPr>
            <w:r>
              <w:t xml:space="preserve">While C.S.H.B. </w:t>
            </w:r>
            <w:r w:rsidR="007838DB">
              <w:t xml:space="preserve">1322 </w:t>
            </w:r>
            <w:r>
              <w:t>may differ from the introduced in minor or nonsubstantive</w:t>
            </w:r>
            <w:r>
              <w:t xml:space="preserve"> ways, the following summarizes the substantial differences between the introduced and committee substitute versions of the bill.</w:t>
            </w:r>
          </w:p>
          <w:p w14:paraId="72B7DB7E" w14:textId="126C6EBB" w:rsidR="008A31AC" w:rsidRDefault="008A31AC" w:rsidP="00EA7B33">
            <w:pPr>
              <w:jc w:val="both"/>
            </w:pPr>
          </w:p>
          <w:p w14:paraId="000EB8DE" w14:textId="39840EF0" w:rsidR="00DE72DC" w:rsidRDefault="006A49CA" w:rsidP="00EA7B33">
            <w:pPr>
              <w:jc w:val="both"/>
            </w:pPr>
            <w:r>
              <w:t>Whereas the introduced applied if a benefit plan enrollee is covered by at least two different benefit plans that provide ben</w:t>
            </w:r>
            <w:r>
              <w:t>efits for eye care expenses, the substitute applies if</w:t>
            </w:r>
            <w:r w:rsidR="00A60E51">
              <w:t xml:space="preserve"> an enrollee is covered by at least two different health benefit plans or vision benefit plans and each provide coverage for the same vision or medical eye care services, procedures, or products.</w:t>
            </w:r>
          </w:p>
          <w:p w14:paraId="2F2518A9" w14:textId="495A05C7" w:rsidR="00057EB4" w:rsidRDefault="00057EB4" w:rsidP="00EA7B33">
            <w:pPr>
              <w:jc w:val="both"/>
            </w:pPr>
          </w:p>
          <w:p w14:paraId="057AAB99" w14:textId="060FEC5C" w:rsidR="005F53E7" w:rsidRDefault="006A49CA" w:rsidP="00EA7B33">
            <w:pPr>
              <w:jc w:val="both"/>
            </w:pPr>
            <w:r>
              <w:t>While</w:t>
            </w:r>
            <w:r>
              <w:t xml:space="preserve"> t</w:t>
            </w:r>
            <w:r w:rsidR="00057EB4">
              <w:t xml:space="preserve">he introduced </w:t>
            </w:r>
            <w:r>
              <w:t>required</w:t>
            </w:r>
            <w:r w:rsidR="00057EB4">
              <w:t xml:space="preserve"> a benefit p</w:t>
            </w:r>
            <w:r>
              <w:t>l</w:t>
            </w:r>
            <w:r w:rsidR="00057EB4">
              <w:t>an provide</w:t>
            </w:r>
            <w:r>
              <w:t>r</w:t>
            </w:r>
            <w:r w:rsidR="00057EB4">
              <w:t xml:space="preserve"> to whom an initial claim for reimbursement is submitted to pay up to the full amount of any coverage limit applicable to the covered eye care expenses and </w:t>
            </w:r>
            <w:r>
              <w:t xml:space="preserve">required </w:t>
            </w:r>
            <w:r w:rsidR="00AE3A80">
              <w:t xml:space="preserve">a </w:t>
            </w:r>
            <w:r w:rsidR="00057EB4">
              <w:t>provider to whom a subsequent claim for expenses that are not reimbursed by the initial provider</w:t>
            </w:r>
            <w:r w:rsidR="003760AC">
              <w:t xml:space="preserve"> to reimburse for all eye care expenses covered under the plan that are not reimbursed </w:t>
            </w:r>
            <w:r w:rsidR="004567DA">
              <w:t>by a benefit plan provider to whom a claim for reimbursement was previously submitted</w:t>
            </w:r>
            <w:r>
              <w:t xml:space="preserve">, the substitute establishes </w:t>
            </w:r>
            <w:r>
              <w:t>the following:</w:t>
            </w:r>
          </w:p>
          <w:p w14:paraId="40DFBC9B" w14:textId="77777777" w:rsidR="005F53E7" w:rsidRDefault="006A49CA" w:rsidP="00EA7B33">
            <w:pPr>
              <w:pStyle w:val="ListParagraph"/>
              <w:numPr>
                <w:ilvl w:val="0"/>
                <w:numId w:val="4"/>
              </w:numPr>
              <w:contextualSpacing w:val="0"/>
              <w:jc w:val="both"/>
            </w:pPr>
            <w:r>
              <w:t xml:space="preserve">the issuer of the primary plan is responsible for covered eye care expenses up to the full amount of the plan coverage limit; </w:t>
            </w:r>
          </w:p>
          <w:p w14:paraId="1841A494" w14:textId="77777777" w:rsidR="005F53E7" w:rsidRDefault="006A49CA" w:rsidP="00EA7B33">
            <w:pPr>
              <w:pStyle w:val="ListParagraph"/>
              <w:numPr>
                <w:ilvl w:val="0"/>
                <w:numId w:val="4"/>
              </w:numPr>
              <w:contextualSpacing w:val="0"/>
              <w:jc w:val="both"/>
            </w:pPr>
            <w:r>
              <w:t xml:space="preserve">the issuer of the secondary plan is responsible for expenses not covered by the plan issued by the primary </w:t>
            </w:r>
            <w:r>
              <w:t xml:space="preserve">issuer before the primary plan limit is reached; and </w:t>
            </w:r>
          </w:p>
          <w:p w14:paraId="1D9C9244" w14:textId="2F0B0A04" w:rsidR="00057EB4" w:rsidRDefault="006A49CA" w:rsidP="00EA7B33">
            <w:pPr>
              <w:pStyle w:val="ListParagraph"/>
              <w:numPr>
                <w:ilvl w:val="0"/>
                <w:numId w:val="4"/>
              </w:numPr>
              <w:contextualSpacing w:val="0"/>
              <w:jc w:val="both"/>
            </w:pPr>
            <w:r>
              <w:t xml:space="preserve">the secondary issuer is also responsible for any expenses covered by both plans that exceed the primary plan coverage limit after that limit is reached. </w:t>
            </w:r>
          </w:p>
          <w:p w14:paraId="558C0183" w14:textId="1E796E16" w:rsidR="00D11632" w:rsidRDefault="00D11632" w:rsidP="00EA7B33">
            <w:pPr>
              <w:jc w:val="both"/>
            </w:pPr>
          </w:p>
          <w:p w14:paraId="3380F9D1" w14:textId="227F9AD4" w:rsidR="00D11632" w:rsidRDefault="006A49CA" w:rsidP="00EA7B33">
            <w:pPr>
              <w:jc w:val="both"/>
            </w:pPr>
            <w:r>
              <w:t xml:space="preserve">The substitute does </w:t>
            </w:r>
            <w:r w:rsidR="00AC0B12">
              <w:t xml:space="preserve">not </w:t>
            </w:r>
            <w:r>
              <w:t xml:space="preserve">include a provision </w:t>
            </w:r>
            <w:r w:rsidR="00AC0B12">
              <w:t xml:space="preserve">from the introduced </w:t>
            </w:r>
            <w:r>
              <w:t>requiring each plan provider to provide a summary of expenses accepted and denied under the plan</w:t>
            </w:r>
            <w:r w:rsidR="00447BF5">
              <w:t>.</w:t>
            </w:r>
          </w:p>
          <w:p w14:paraId="12EB06FB" w14:textId="77777777" w:rsidR="00447BF5" w:rsidRDefault="00447BF5" w:rsidP="00EA7B33">
            <w:pPr>
              <w:jc w:val="both"/>
            </w:pPr>
          </w:p>
          <w:p w14:paraId="2DE1374F" w14:textId="55F3A71F" w:rsidR="00810F98" w:rsidRDefault="006A49CA" w:rsidP="00EA7B33">
            <w:pPr>
              <w:jc w:val="both"/>
            </w:pPr>
            <w:r>
              <w:t>T</w:t>
            </w:r>
            <w:r w:rsidR="003B3EE1">
              <w:t xml:space="preserve">he </w:t>
            </w:r>
            <w:r w:rsidR="0070328A">
              <w:t>substitute</w:t>
            </w:r>
            <w:r w:rsidR="003B3EE1">
              <w:t xml:space="preserve"> includes</w:t>
            </w:r>
            <w:r>
              <w:t xml:space="preserve"> the following</w:t>
            </w:r>
            <w:r w:rsidR="003B3EE1">
              <w:t xml:space="preserve"> provisions </w:t>
            </w:r>
            <w:r w:rsidR="000A268C">
              <w:t>absent from</w:t>
            </w:r>
            <w:r w:rsidR="003B3EE1">
              <w:t xml:space="preserve"> the introduced</w:t>
            </w:r>
            <w:r>
              <w:t>:</w:t>
            </w:r>
          </w:p>
          <w:p w14:paraId="315D65E4" w14:textId="2387F54F" w:rsidR="00810F98" w:rsidRDefault="006A49CA" w:rsidP="00EA7B33">
            <w:pPr>
              <w:pStyle w:val="ListParagraph"/>
              <w:numPr>
                <w:ilvl w:val="0"/>
                <w:numId w:val="5"/>
              </w:numPr>
              <w:contextualSpacing w:val="0"/>
              <w:jc w:val="both"/>
            </w:pPr>
            <w:r>
              <w:t>a requirement for a vision benefit plan issuer to coordinate benefits with a health benefit plan issuer if they both provide benefits for eye care expenses;</w:t>
            </w:r>
          </w:p>
          <w:p w14:paraId="31DAACBE" w14:textId="5072F262" w:rsidR="00FC7D5A" w:rsidRDefault="006A49CA" w:rsidP="00EA7B33">
            <w:pPr>
              <w:pStyle w:val="ListParagraph"/>
              <w:numPr>
                <w:ilvl w:val="0"/>
                <w:numId w:val="5"/>
              </w:numPr>
              <w:contextualSpacing w:val="0"/>
              <w:jc w:val="both"/>
            </w:pPr>
            <w:r>
              <w:t>a prohibition against a vision benefit plan issuer requiring a claim denial before adjudicating a c</w:t>
            </w:r>
            <w:r>
              <w:t>laim up to the coverage limit of the plan;</w:t>
            </w:r>
          </w:p>
          <w:p w14:paraId="64C989B1" w14:textId="3863D685" w:rsidR="00FC7D5A" w:rsidRDefault="006A49CA" w:rsidP="00EA7B33">
            <w:pPr>
              <w:pStyle w:val="ListParagraph"/>
              <w:numPr>
                <w:ilvl w:val="0"/>
                <w:numId w:val="5"/>
              </w:numPr>
              <w:contextualSpacing w:val="0"/>
              <w:jc w:val="both"/>
            </w:pPr>
            <w:r>
              <w:t xml:space="preserve">a requirement for a mechanism of providing proof to be through an online submission if a secondary plan issuer requires </w:t>
            </w:r>
            <w:r w:rsidR="00E71770">
              <w:t xml:space="preserve">proof that a </w:t>
            </w:r>
            <w:r w:rsidR="00FF5202">
              <w:t xml:space="preserve">related </w:t>
            </w:r>
            <w:r w:rsidR="00E71770">
              <w:t>claim has been submitted to the primary plan issuer;</w:t>
            </w:r>
          </w:p>
          <w:p w14:paraId="6964A9AF" w14:textId="6568A509" w:rsidR="00E71770" w:rsidRDefault="006A49CA" w:rsidP="00EA7B33">
            <w:pPr>
              <w:pStyle w:val="ListParagraph"/>
              <w:numPr>
                <w:ilvl w:val="0"/>
                <w:numId w:val="5"/>
              </w:numPr>
              <w:contextualSpacing w:val="0"/>
              <w:jc w:val="both"/>
            </w:pPr>
            <w:r>
              <w:t>a provision establi</w:t>
            </w:r>
            <w:r>
              <w:t xml:space="preserve">shing that the bill's provisions do not prevent a secondary plan issuer from requiring proof relating to a </w:t>
            </w:r>
            <w:r w:rsidR="00AF124F">
              <w:t>claim</w:t>
            </w:r>
            <w:r>
              <w:t xml:space="preserve"> submitted to the primary </w:t>
            </w:r>
            <w:r w:rsidR="00FF5202">
              <w:t xml:space="preserve">plan </w:t>
            </w:r>
            <w:r>
              <w:t>issuer to determine the remaining balance up to the secondary plan's coverage limits;</w:t>
            </w:r>
          </w:p>
          <w:p w14:paraId="20C43F6A" w14:textId="1A3DE887" w:rsidR="00AF124F" w:rsidRDefault="006A49CA" w:rsidP="00EA7B33">
            <w:pPr>
              <w:pStyle w:val="ListParagraph"/>
              <w:numPr>
                <w:ilvl w:val="0"/>
                <w:numId w:val="5"/>
              </w:numPr>
              <w:contextualSpacing w:val="0"/>
              <w:jc w:val="both"/>
            </w:pPr>
            <w:r>
              <w:t>a provision establishing th</w:t>
            </w:r>
            <w:r>
              <w:t xml:space="preserve">at the prohibitions against the delivery, issuance for delivery, and renewal of a plan under certain conditions do not </w:t>
            </w:r>
            <w:r w:rsidR="0083418A">
              <w:t xml:space="preserve">require a secondary </w:t>
            </w:r>
            <w:r w:rsidR="00FF5202">
              <w:t xml:space="preserve">plan </w:t>
            </w:r>
            <w:r w:rsidR="0083418A">
              <w:t xml:space="preserve">issuer to pay an amount that would exceed the usual and customary billing charges when added to a payment amount by a primary </w:t>
            </w:r>
            <w:r w:rsidR="00FF5202">
              <w:t xml:space="preserve">plan </w:t>
            </w:r>
            <w:r w:rsidR="0083418A">
              <w:t xml:space="preserve">issuer; </w:t>
            </w:r>
          </w:p>
          <w:p w14:paraId="22B8A317" w14:textId="60A369F7" w:rsidR="001D1E4D" w:rsidRDefault="006A49CA" w:rsidP="00EA7B33">
            <w:pPr>
              <w:pStyle w:val="ListParagraph"/>
              <w:numPr>
                <w:ilvl w:val="0"/>
                <w:numId w:val="5"/>
              </w:numPr>
              <w:contextualSpacing w:val="0"/>
              <w:jc w:val="both"/>
            </w:pPr>
            <w:r>
              <w:t>a provision excepting a supplemental insurance policy that only pays benefits</w:t>
            </w:r>
            <w:r w:rsidR="003C4AD2">
              <w:t xml:space="preserve"> directly to the policyholder from applicability of the bill's provisions; and</w:t>
            </w:r>
          </w:p>
          <w:p w14:paraId="6143E97C" w14:textId="69F31AA1" w:rsidR="0083418A" w:rsidRDefault="006A49CA" w:rsidP="00EA7B33">
            <w:pPr>
              <w:pStyle w:val="ListParagraph"/>
              <w:numPr>
                <w:ilvl w:val="0"/>
                <w:numId w:val="5"/>
              </w:numPr>
              <w:contextualSpacing w:val="0"/>
              <w:jc w:val="both"/>
            </w:pPr>
            <w:r>
              <w:t>an authorization for the commissioner of insurance to adopt rules necess</w:t>
            </w:r>
            <w:r>
              <w:t>ary to implement the bill's provisions.</w:t>
            </w:r>
          </w:p>
          <w:p w14:paraId="259627AA" w14:textId="4C5E6070" w:rsidR="001F4D6A" w:rsidRDefault="001F4D6A" w:rsidP="00EA7B33">
            <w:pPr>
              <w:jc w:val="both"/>
            </w:pPr>
          </w:p>
          <w:p w14:paraId="79AFBB59" w14:textId="60F0A3AE" w:rsidR="00BA2172" w:rsidRPr="00077A8C" w:rsidRDefault="00BA2172" w:rsidP="00EA7B33">
            <w:pPr>
              <w:jc w:val="both"/>
            </w:pPr>
          </w:p>
        </w:tc>
      </w:tr>
      <w:tr w:rsidR="00B65541" w14:paraId="527C1317" w14:textId="77777777" w:rsidTr="00345119">
        <w:tc>
          <w:tcPr>
            <w:tcW w:w="9576" w:type="dxa"/>
          </w:tcPr>
          <w:p w14:paraId="37E7CBA4" w14:textId="77777777" w:rsidR="00DD1C85" w:rsidRPr="009C1E9A" w:rsidRDefault="00DD1C85" w:rsidP="00EA7B33">
            <w:pPr>
              <w:rPr>
                <w:b/>
                <w:u w:val="single"/>
              </w:rPr>
            </w:pPr>
          </w:p>
        </w:tc>
      </w:tr>
      <w:tr w:rsidR="00B65541" w14:paraId="3ABCCD3B" w14:textId="77777777" w:rsidTr="00345119">
        <w:tc>
          <w:tcPr>
            <w:tcW w:w="9576" w:type="dxa"/>
          </w:tcPr>
          <w:p w14:paraId="67FB9CD7" w14:textId="77777777" w:rsidR="00DD1C85" w:rsidRPr="00DD1C85" w:rsidRDefault="00DD1C85" w:rsidP="00EA7B33">
            <w:pPr>
              <w:jc w:val="both"/>
            </w:pPr>
          </w:p>
        </w:tc>
      </w:tr>
    </w:tbl>
    <w:p w14:paraId="1F56EE7D" w14:textId="77777777" w:rsidR="008423E4" w:rsidRPr="00BE0E75" w:rsidRDefault="008423E4" w:rsidP="00EA7B33">
      <w:pPr>
        <w:jc w:val="both"/>
        <w:rPr>
          <w:rFonts w:ascii="Arial" w:hAnsi="Arial"/>
          <w:sz w:val="16"/>
          <w:szCs w:val="16"/>
        </w:rPr>
      </w:pPr>
    </w:p>
    <w:p w14:paraId="6507F093" w14:textId="77777777" w:rsidR="004108C3" w:rsidRPr="008423E4" w:rsidRDefault="004108C3" w:rsidP="00EA7B3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0666" w14:textId="77777777" w:rsidR="00000000" w:rsidRDefault="006A49CA">
      <w:r>
        <w:separator/>
      </w:r>
    </w:p>
  </w:endnote>
  <w:endnote w:type="continuationSeparator" w:id="0">
    <w:p w14:paraId="24E48DF9" w14:textId="77777777" w:rsidR="00000000" w:rsidRDefault="006A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3C7" w14:textId="77777777" w:rsidR="00BB7A19" w:rsidRDefault="00BB7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65541" w14:paraId="114CF826" w14:textId="77777777" w:rsidTr="009C1E9A">
      <w:trPr>
        <w:cantSplit/>
      </w:trPr>
      <w:tc>
        <w:tcPr>
          <w:tcW w:w="0" w:type="pct"/>
        </w:tcPr>
        <w:p w14:paraId="61037B24" w14:textId="77777777" w:rsidR="00137D90" w:rsidRDefault="00137D90" w:rsidP="009C1E9A">
          <w:pPr>
            <w:pStyle w:val="Footer"/>
            <w:tabs>
              <w:tab w:val="clear" w:pos="8640"/>
              <w:tab w:val="right" w:pos="9360"/>
            </w:tabs>
          </w:pPr>
        </w:p>
      </w:tc>
      <w:tc>
        <w:tcPr>
          <w:tcW w:w="2395" w:type="pct"/>
        </w:tcPr>
        <w:p w14:paraId="5D97EFDD" w14:textId="77777777" w:rsidR="00137D90" w:rsidRDefault="00137D90" w:rsidP="009C1E9A">
          <w:pPr>
            <w:pStyle w:val="Footer"/>
            <w:tabs>
              <w:tab w:val="clear" w:pos="8640"/>
              <w:tab w:val="right" w:pos="9360"/>
            </w:tabs>
          </w:pPr>
        </w:p>
        <w:p w14:paraId="28D9DEAF" w14:textId="77777777" w:rsidR="001A4310" w:rsidRDefault="001A4310" w:rsidP="009C1E9A">
          <w:pPr>
            <w:pStyle w:val="Footer"/>
            <w:tabs>
              <w:tab w:val="clear" w:pos="8640"/>
              <w:tab w:val="right" w:pos="9360"/>
            </w:tabs>
          </w:pPr>
        </w:p>
        <w:p w14:paraId="49409A8B" w14:textId="77777777" w:rsidR="00137D90" w:rsidRDefault="00137D90" w:rsidP="009C1E9A">
          <w:pPr>
            <w:pStyle w:val="Footer"/>
            <w:tabs>
              <w:tab w:val="clear" w:pos="8640"/>
              <w:tab w:val="right" w:pos="9360"/>
            </w:tabs>
          </w:pPr>
        </w:p>
      </w:tc>
      <w:tc>
        <w:tcPr>
          <w:tcW w:w="2453" w:type="pct"/>
        </w:tcPr>
        <w:p w14:paraId="4E759E76" w14:textId="77777777" w:rsidR="00137D90" w:rsidRDefault="00137D90" w:rsidP="009C1E9A">
          <w:pPr>
            <w:pStyle w:val="Footer"/>
            <w:tabs>
              <w:tab w:val="clear" w:pos="8640"/>
              <w:tab w:val="right" w:pos="9360"/>
            </w:tabs>
            <w:jc w:val="right"/>
          </w:pPr>
        </w:p>
      </w:tc>
    </w:tr>
    <w:tr w:rsidR="00B65541" w14:paraId="207803F7" w14:textId="77777777" w:rsidTr="009C1E9A">
      <w:trPr>
        <w:cantSplit/>
      </w:trPr>
      <w:tc>
        <w:tcPr>
          <w:tcW w:w="0" w:type="pct"/>
        </w:tcPr>
        <w:p w14:paraId="50D89721" w14:textId="77777777" w:rsidR="00EC379B" w:rsidRDefault="00EC379B" w:rsidP="009C1E9A">
          <w:pPr>
            <w:pStyle w:val="Footer"/>
            <w:tabs>
              <w:tab w:val="clear" w:pos="8640"/>
              <w:tab w:val="right" w:pos="9360"/>
            </w:tabs>
          </w:pPr>
        </w:p>
      </w:tc>
      <w:tc>
        <w:tcPr>
          <w:tcW w:w="2395" w:type="pct"/>
        </w:tcPr>
        <w:p w14:paraId="202AB837" w14:textId="2B6D28AF" w:rsidR="00EC379B" w:rsidRPr="009C1E9A" w:rsidRDefault="006A49CA" w:rsidP="009C1E9A">
          <w:pPr>
            <w:pStyle w:val="Footer"/>
            <w:tabs>
              <w:tab w:val="clear" w:pos="8640"/>
              <w:tab w:val="right" w:pos="9360"/>
            </w:tabs>
            <w:rPr>
              <w:rFonts w:ascii="Shruti" w:hAnsi="Shruti"/>
              <w:sz w:val="22"/>
            </w:rPr>
          </w:pPr>
          <w:r>
            <w:rPr>
              <w:rFonts w:ascii="Shruti" w:hAnsi="Shruti"/>
              <w:sz w:val="22"/>
            </w:rPr>
            <w:t>88R 24196-D</w:t>
          </w:r>
        </w:p>
      </w:tc>
      <w:tc>
        <w:tcPr>
          <w:tcW w:w="2453" w:type="pct"/>
        </w:tcPr>
        <w:p w14:paraId="21E9C6B0" w14:textId="25EEB62A" w:rsidR="00EC379B" w:rsidRDefault="006A49CA" w:rsidP="009C1E9A">
          <w:pPr>
            <w:pStyle w:val="Footer"/>
            <w:tabs>
              <w:tab w:val="clear" w:pos="8640"/>
              <w:tab w:val="right" w:pos="9360"/>
            </w:tabs>
            <w:jc w:val="right"/>
          </w:pPr>
          <w:r>
            <w:fldChar w:fldCharType="begin"/>
          </w:r>
          <w:r>
            <w:instrText xml:space="preserve"> DOCPROPERTY  OTID  \* MERGEFORMAT </w:instrText>
          </w:r>
          <w:r>
            <w:fldChar w:fldCharType="separate"/>
          </w:r>
          <w:r w:rsidR="00EA7B33">
            <w:t>23.108.2727</w:t>
          </w:r>
          <w:r>
            <w:fldChar w:fldCharType="end"/>
          </w:r>
        </w:p>
      </w:tc>
    </w:tr>
    <w:tr w:rsidR="00B65541" w14:paraId="0B1FFEF6" w14:textId="77777777" w:rsidTr="009C1E9A">
      <w:trPr>
        <w:cantSplit/>
      </w:trPr>
      <w:tc>
        <w:tcPr>
          <w:tcW w:w="0" w:type="pct"/>
        </w:tcPr>
        <w:p w14:paraId="373CCCC9" w14:textId="77777777" w:rsidR="00EC379B" w:rsidRDefault="00EC379B" w:rsidP="009C1E9A">
          <w:pPr>
            <w:pStyle w:val="Footer"/>
            <w:tabs>
              <w:tab w:val="clear" w:pos="4320"/>
              <w:tab w:val="clear" w:pos="8640"/>
              <w:tab w:val="left" w:pos="2865"/>
            </w:tabs>
          </w:pPr>
        </w:p>
      </w:tc>
      <w:tc>
        <w:tcPr>
          <w:tcW w:w="2395" w:type="pct"/>
        </w:tcPr>
        <w:p w14:paraId="3288FB62" w14:textId="1E10A58F" w:rsidR="00EC379B" w:rsidRPr="009C1E9A" w:rsidRDefault="006A49CA" w:rsidP="009C1E9A">
          <w:pPr>
            <w:pStyle w:val="Footer"/>
            <w:tabs>
              <w:tab w:val="clear" w:pos="4320"/>
              <w:tab w:val="clear" w:pos="8640"/>
              <w:tab w:val="left" w:pos="2865"/>
            </w:tabs>
            <w:rPr>
              <w:rFonts w:ascii="Shruti" w:hAnsi="Shruti"/>
              <w:sz w:val="22"/>
            </w:rPr>
          </w:pPr>
          <w:r>
            <w:rPr>
              <w:rFonts w:ascii="Shruti" w:hAnsi="Shruti"/>
              <w:sz w:val="22"/>
            </w:rPr>
            <w:t>Substitute Document Number: 88R 21068</w:t>
          </w:r>
        </w:p>
      </w:tc>
      <w:tc>
        <w:tcPr>
          <w:tcW w:w="2453" w:type="pct"/>
        </w:tcPr>
        <w:p w14:paraId="4C20B990" w14:textId="77777777" w:rsidR="00EC379B" w:rsidRDefault="00EC379B" w:rsidP="006D504F">
          <w:pPr>
            <w:pStyle w:val="Footer"/>
            <w:rPr>
              <w:rStyle w:val="PageNumber"/>
            </w:rPr>
          </w:pPr>
        </w:p>
        <w:p w14:paraId="1E7BB6C9" w14:textId="77777777" w:rsidR="00EC379B" w:rsidRDefault="00EC379B" w:rsidP="009C1E9A">
          <w:pPr>
            <w:pStyle w:val="Footer"/>
            <w:tabs>
              <w:tab w:val="clear" w:pos="8640"/>
              <w:tab w:val="right" w:pos="9360"/>
            </w:tabs>
            <w:jc w:val="right"/>
          </w:pPr>
        </w:p>
      </w:tc>
    </w:tr>
    <w:tr w:rsidR="00B65541" w14:paraId="2AE59D37" w14:textId="77777777" w:rsidTr="009C1E9A">
      <w:trPr>
        <w:cantSplit/>
        <w:trHeight w:val="323"/>
      </w:trPr>
      <w:tc>
        <w:tcPr>
          <w:tcW w:w="0" w:type="pct"/>
          <w:gridSpan w:val="3"/>
        </w:tcPr>
        <w:p w14:paraId="6584D0D9" w14:textId="77777777" w:rsidR="00EC379B" w:rsidRDefault="006A49C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34CF87D" w14:textId="77777777" w:rsidR="00EC379B" w:rsidRDefault="00EC379B" w:rsidP="009C1E9A">
          <w:pPr>
            <w:pStyle w:val="Footer"/>
            <w:tabs>
              <w:tab w:val="clear" w:pos="8640"/>
              <w:tab w:val="right" w:pos="9360"/>
            </w:tabs>
            <w:jc w:val="center"/>
          </w:pPr>
        </w:p>
      </w:tc>
    </w:tr>
  </w:tbl>
  <w:p w14:paraId="45CD1D9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B9AE" w14:textId="77777777" w:rsidR="00BB7A19" w:rsidRDefault="00BB7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3A77" w14:textId="77777777" w:rsidR="00000000" w:rsidRDefault="006A49CA">
      <w:r>
        <w:separator/>
      </w:r>
    </w:p>
  </w:footnote>
  <w:footnote w:type="continuationSeparator" w:id="0">
    <w:p w14:paraId="1FB3323A" w14:textId="77777777" w:rsidR="00000000" w:rsidRDefault="006A4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550D" w14:textId="77777777" w:rsidR="00BB7A19" w:rsidRDefault="00BB7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0F39" w14:textId="77777777" w:rsidR="00BB7A19" w:rsidRDefault="00BB7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E75D" w14:textId="77777777" w:rsidR="00BB7A19" w:rsidRDefault="00BB7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9740A"/>
    <w:multiLevelType w:val="hybridMultilevel"/>
    <w:tmpl w:val="F5600732"/>
    <w:lvl w:ilvl="0" w:tplc="F258C7CA">
      <w:start w:val="1"/>
      <w:numFmt w:val="bullet"/>
      <w:lvlText w:val=""/>
      <w:lvlJc w:val="left"/>
      <w:pPr>
        <w:tabs>
          <w:tab w:val="num" w:pos="786"/>
        </w:tabs>
        <w:ind w:left="786" w:hanging="360"/>
      </w:pPr>
      <w:rPr>
        <w:rFonts w:ascii="Symbol" w:hAnsi="Symbol" w:hint="default"/>
      </w:rPr>
    </w:lvl>
    <w:lvl w:ilvl="1" w:tplc="46266FEA" w:tentative="1">
      <w:start w:val="1"/>
      <w:numFmt w:val="bullet"/>
      <w:lvlText w:val="o"/>
      <w:lvlJc w:val="left"/>
      <w:pPr>
        <w:ind w:left="1506" w:hanging="360"/>
      </w:pPr>
      <w:rPr>
        <w:rFonts w:ascii="Courier New" w:hAnsi="Courier New" w:cs="Courier New" w:hint="default"/>
      </w:rPr>
    </w:lvl>
    <w:lvl w:ilvl="2" w:tplc="D69484C2" w:tentative="1">
      <w:start w:val="1"/>
      <w:numFmt w:val="bullet"/>
      <w:lvlText w:val=""/>
      <w:lvlJc w:val="left"/>
      <w:pPr>
        <w:ind w:left="2226" w:hanging="360"/>
      </w:pPr>
      <w:rPr>
        <w:rFonts w:ascii="Wingdings" w:hAnsi="Wingdings" w:hint="default"/>
      </w:rPr>
    </w:lvl>
    <w:lvl w:ilvl="3" w:tplc="9770505E" w:tentative="1">
      <w:start w:val="1"/>
      <w:numFmt w:val="bullet"/>
      <w:lvlText w:val=""/>
      <w:lvlJc w:val="left"/>
      <w:pPr>
        <w:ind w:left="2946" w:hanging="360"/>
      </w:pPr>
      <w:rPr>
        <w:rFonts w:ascii="Symbol" w:hAnsi="Symbol" w:hint="default"/>
      </w:rPr>
    </w:lvl>
    <w:lvl w:ilvl="4" w:tplc="B2261060" w:tentative="1">
      <w:start w:val="1"/>
      <w:numFmt w:val="bullet"/>
      <w:lvlText w:val="o"/>
      <w:lvlJc w:val="left"/>
      <w:pPr>
        <w:ind w:left="3666" w:hanging="360"/>
      </w:pPr>
      <w:rPr>
        <w:rFonts w:ascii="Courier New" w:hAnsi="Courier New" w:cs="Courier New" w:hint="default"/>
      </w:rPr>
    </w:lvl>
    <w:lvl w:ilvl="5" w:tplc="9EA0D8DE" w:tentative="1">
      <w:start w:val="1"/>
      <w:numFmt w:val="bullet"/>
      <w:lvlText w:val=""/>
      <w:lvlJc w:val="left"/>
      <w:pPr>
        <w:ind w:left="4386" w:hanging="360"/>
      </w:pPr>
      <w:rPr>
        <w:rFonts w:ascii="Wingdings" w:hAnsi="Wingdings" w:hint="default"/>
      </w:rPr>
    </w:lvl>
    <w:lvl w:ilvl="6" w:tplc="757690BA" w:tentative="1">
      <w:start w:val="1"/>
      <w:numFmt w:val="bullet"/>
      <w:lvlText w:val=""/>
      <w:lvlJc w:val="left"/>
      <w:pPr>
        <w:ind w:left="5106" w:hanging="360"/>
      </w:pPr>
      <w:rPr>
        <w:rFonts w:ascii="Symbol" w:hAnsi="Symbol" w:hint="default"/>
      </w:rPr>
    </w:lvl>
    <w:lvl w:ilvl="7" w:tplc="A104A532" w:tentative="1">
      <w:start w:val="1"/>
      <w:numFmt w:val="bullet"/>
      <w:lvlText w:val="o"/>
      <w:lvlJc w:val="left"/>
      <w:pPr>
        <w:ind w:left="5826" w:hanging="360"/>
      </w:pPr>
      <w:rPr>
        <w:rFonts w:ascii="Courier New" w:hAnsi="Courier New" w:cs="Courier New" w:hint="default"/>
      </w:rPr>
    </w:lvl>
    <w:lvl w:ilvl="8" w:tplc="E532346C" w:tentative="1">
      <w:start w:val="1"/>
      <w:numFmt w:val="bullet"/>
      <w:lvlText w:val=""/>
      <w:lvlJc w:val="left"/>
      <w:pPr>
        <w:ind w:left="6546" w:hanging="360"/>
      </w:pPr>
      <w:rPr>
        <w:rFonts w:ascii="Wingdings" w:hAnsi="Wingdings" w:hint="default"/>
      </w:rPr>
    </w:lvl>
  </w:abstractNum>
  <w:abstractNum w:abstractNumId="1" w15:restartNumberingAfterBreak="0">
    <w:nsid w:val="2590319D"/>
    <w:multiLevelType w:val="hybridMultilevel"/>
    <w:tmpl w:val="2878D254"/>
    <w:lvl w:ilvl="0" w:tplc="9F202350">
      <w:start w:val="1"/>
      <w:numFmt w:val="bullet"/>
      <w:lvlText w:val=""/>
      <w:lvlJc w:val="left"/>
      <w:pPr>
        <w:tabs>
          <w:tab w:val="num" w:pos="720"/>
        </w:tabs>
        <w:ind w:left="720" w:hanging="360"/>
      </w:pPr>
      <w:rPr>
        <w:rFonts w:ascii="Symbol" w:hAnsi="Symbol" w:hint="default"/>
      </w:rPr>
    </w:lvl>
    <w:lvl w:ilvl="1" w:tplc="343A0A30" w:tentative="1">
      <w:start w:val="1"/>
      <w:numFmt w:val="bullet"/>
      <w:lvlText w:val="o"/>
      <w:lvlJc w:val="left"/>
      <w:pPr>
        <w:ind w:left="1440" w:hanging="360"/>
      </w:pPr>
      <w:rPr>
        <w:rFonts w:ascii="Courier New" w:hAnsi="Courier New" w:cs="Courier New" w:hint="default"/>
      </w:rPr>
    </w:lvl>
    <w:lvl w:ilvl="2" w:tplc="4D68E802" w:tentative="1">
      <w:start w:val="1"/>
      <w:numFmt w:val="bullet"/>
      <w:lvlText w:val=""/>
      <w:lvlJc w:val="left"/>
      <w:pPr>
        <w:ind w:left="2160" w:hanging="360"/>
      </w:pPr>
      <w:rPr>
        <w:rFonts w:ascii="Wingdings" w:hAnsi="Wingdings" w:hint="default"/>
      </w:rPr>
    </w:lvl>
    <w:lvl w:ilvl="3" w:tplc="15BAF81A" w:tentative="1">
      <w:start w:val="1"/>
      <w:numFmt w:val="bullet"/>
      <w:lvlText w:val=""/>
      <w:lvlJc w:val="left"/>
      <w:pPr>
        <w:ind w:left="2880" w:hanging="360"/>
      </w:pPr>
      <w:rPr>
        <w:rFonts w:ascii="Symbol" w:hAnsi="Symbol" w:hint="default"/>
      </w:rPr>
    </w:lvl>
    <w:lvl w:ilvl="4" w:tplc="B214305A" w:tentative="1">
      <w:start w:val="1"/>
      <w:numFmt w:val="bullet"/>
      <w:lvlText w:val="o"/>
      <w:lvlJc w:val="left"/>
      <w:pPr>
        <w:ind w:left="3600" w:hanging="360"/>
      </w:pPr>
      <w:rPr>
        <w:rFonts w:ascii="Courier New" w:hAnsi="Courier New" w:cs="Courier New" w:hint="default"/>
      </w:rPr>
    </w:lvl>
    <w:lvl w:ilvl="5" w:tplc="583A1834" w:tentative="1">
      <w:start w:val="1"/>
      <w:numFmt w:val="bullet"/>
      <w:lvlText w:val=""/>
      <w:lvlJc w:val="left"/>
      <w:pPr>
        <w:ind w:left="4320" w:hanging="360"/>
      </w:pPr>
      <w:rPr>
        <w:rFonts w:ascii="Wingdings" w:hAnsi="Wingdings" w:hint="default"/>
      </w:rPr>
    </w:lvl>
    <w:lvl w:ilvl="6" w:tplc="FBF4496A" w:tentative="1">
      <w:start w:val="1"/>
      <w:numFmt w:val="bullet"/>
      <w:lvlText w:val=""/>
      <w:lvlJc w:val="left"/>
      <w:pPr>
        <w:ind w:left="5040" w:hanging="360"/>
      </w:pPr>
      <w:rPr>
        <w:rFonts w:ascii="Symbol" w:hAnsi="Symbol" w:hint="default"/>
      </w:rPr>
    </w:lvl>
    <w:lvl w:ilvl="7" w:tplc="CB9CD5C4" w:tentative="1">
      <w:start w:val="1"/>
      <w:numFmt w:val="bullet"/>
      <w:lvlText w:val="o"/>
      <w:lvlJc w:val="left"/>
      <w:pPr>
        <w:ind w:left="5760" w:hanging="360"/>
      </w:pPr>
      <w:rPr>
        <w:rFonts w:ascii="Courier New" w:hAnsi="Courier New" w:cs="Courier New" w:hint="default"/>
      </w:rPr>
    </w:lvl>
    <w:lvl w:ilvl="8" w:tplc="48A2C3FC" w:tentative="1">
      <w:start w:val="1"/>
      <w:numFmt w:val="bullet"/>
      <w:lvlText w:val=""/>
      <w:lvlJc w:val="left"/>
      <w:pPr>
        <w:ind w:left="6480" w:hanging="360"/>
      </w:pPr>
      <w:rPr>
        <w:rFonts w:ascii="Wingdings" w:hAnsi="Wingdings" w:hint="default"/>
      </w:rPr>
    </w:lvl>
  </w:abstractNum>
  <w:abstractNum w:abstractNumId="2" w15:restartNumberingAfterBreak="0">
    <w:nsid w:val="37D77A12"/>
    <w:multiLevelType w:val="hybridMultilevel"/>
    <w:tmpl w:val="C78AA4AE"/>
    <w:lvl w:ilvl="0" w:tplc="CC464802">
      <w:start w:val="1"/>
      <w:numFmt w:val="bullet"/>
      <w:lvlText w:val=""/>
      <w:lvlJc w:val="left"/>
      <w:pPr>
        <w:tabs>
          <w:tab w:val="num" w:pos="720"/>
        </w:tabs>
        <w:ind w:left="720" w:hanging="360"/>
      </w:pPr>
      <w:rPr>
        <w:rFonts w:ascii="Symbol" w:hAnsi="Symbol" w:hint="default"/>
      </w:rPr>
    </w:lvl>
    <w:lvl w:ilvl="1" w:tplc="D18C9DEC" w:tentative="1">
      <w:start w:val="1"/>
      <w:numFmt w:val="bullet"/>
      <w:lvlText w:val="o"/>
      <w:lvlJc w:val="left"/>
      <w:pPr>
        <w:ind w:left="1440" w:hanging="360"/>
      </w:pPr>
      <w:rPr>
        <w:rFonts w:ascii="Courier New" w:hAnsi="Courier New" w:cs="Courier New" w:hint="default"/>
      </w:rPr>
    </w:lvl>
    <w:lvl w:ilvl="2" w:tplc="DC3C882E" w:tentative="1">
      <w:start w:val="1"/>
      <w:numFmt w:val="bullet"/>
      <w:lvlText w:val=""/>
      <w:lvlJc w:val="left"/>
      <w:pPr>
        <w:ind w:left="2160" w:hanging="360"/>
      </w:pPr>
      <w:rPr>
        <w:rFonts w:ascii="Wingdings" w:hAnsi="Wingdings" w:hint="default"/>
      </w:rPr>
    </w:lvl>
    <w:lvl w:ilvl="3" w:tplc="B7BE6A54" w:tentative="1">
      <w:start w:val="1"/>
      <w:numFmt w:val="bullet"/>
      <w:lvlText w:val=""/>
      <w:lvlJc w:val="left"/>
      <w:pPr>
        <w:ind w:left="2880" w:hanging="360"/>
      </w:pPr>
      <w:rPr>
        <w:rFonts w:ascii="Symbol" w:hAnsi="Symbol" w:hint="default"/>
      </w:rPr>
    </w:lvl>
    <w:lvl w:ilvl="4" w:tplc="9F305FEC" w:tentative="1">
      <w:start w:val="1"/>
      <w:numFmt w:val="bullet"/>
      <w:lvlText w:val="o"/>
      <w:lvlJc w:val="left"/>
      <w:pPr>
        <w:ind w:left="3600" w:hanging="360"/>
      </w:pPr>
      <w:rPr>
        <w:rFonts w:ascii="Courier New" w:hAnsi="Courier New" w:cs="Courier New" w:hint="default"/>
      </w:rPr>
    </w:lvl>
    <w:lvl w:ilvl="5" w:tplc="3B10538E" w:tentative="1">
      <w:start w:val="1"/>
      <w:numFmt w:val="bullet"/>
      <w:lvlText w:val=""/>
      <w:lvlJc w:val="left"/>
      <w:pPr>
        <w:ind w:left="4320" w:hanging="360"/>
      </w:pPr>
      <w:rPr>
        <w:rFonts w:ascii="Wingdings" w:hAnsi="Wingdings" w:hint="default"/>
      </w:rPr>
    </w:lvl>
    <w:lvl w:ilvl="6" w:tplc="CDFE0C6A" w:tentative="1">
      <w:start w:val="1"/>
      <w:numFmt w:val="bullet"/>
      <w:lvlText w:val=""/>
      <w:lvlJc w:val="left"/>
      <w:pPr>
        <w:ind w:left="5040" w:hanging="360"/>
      </w:pPr>
      <w:rPr>
        <w:rFonts w:ascii="Symbol" w:hAnsi="Symbol" w:hint="default"/>
      </w:rPr>
    </w:lvl>
    <w:lvl w:ilvl="7" w:tplc="8B0CF02C" w:tentative="1">
      <w:start w:val="1"/>
      <w:numFmt w:val="bullet"/>
      <w:lvlText w:val="o"/>
      <w:lvlJc w:val="left"/>
      <w:pPr>
        <w:ind w:left="5760" w:hanging="360"/>
      </w:pPr>
      <w:rPr>
        <w:rFonts w:ascii="Courier New" w:hAnsi="Courier New" w:cs="Courier New" w:hint="default"/>
      </w:rPr>
    </w:lvl>
    <w:lvl w:ilvl="8" w:tplc="760C2A14" w:tentative="1">
      <w:start w:val="1"/>
      <w:numFmt w:val="bullet"/>
      <w:lvlText w:val=""/>
      <w:lvlJc w:val="left"/>
      <w:pPr>
        <w:ind w:left="6480" w:hanging="360"/>
      </w:pPr>
      <w:rPr>
        <w:rFonts w:ascii="Wingdings" w:hAnsi="Wingdings" w:hint="default"/>
      </w:rPr>
    </w:lvl>
  </w:abstractNum>
  <w:abstractNum w:abstractNumId="3" w15:restartNumberingAfterBreak="0">
    <w:nsid w:val="7E1A7405"/>
    <w:multiLevelType w:val="hybridMultilevel"/>
    <w:tmpl w:val="5C64CD26"/>
    <w:lvl w:ilvl="0" w:tplc="3356E76C">
      <w:start w:val="1"/>
      <w:numFmt w:val="bullet"/>
      <w:lvlText w:val=""/>
      <w:lvlJc w:val="left"/>
      <w:pPr>
        <w:tabs>
          <w:tab w:val="num" w:pos="720"/>
        </w:tabs>
        <w:ind w:left="720" w:hanging="360"/>
      </w:pPr>
      <w:rPr>
        <w:rFonts w:ascii="Symbol" w:hAnsi="Symbol" w:hint="default"/>
      </w:rPr>
    </w:lvl>
    <w:lvl w:ilvl="1" w:tplc="D2D03776" w:tentative="1">
      <w:start w:val="1"/>
      <w:numFmt w:val="bullet"/>
      <w:lvlText w:val="o"/>
      <w:lvlJc w:val="left"/>
      <w:pPr>
        <w:ind w:left="1440" w:hanging="360"/>
      </w:pPr>
      <w:rPr>
        <w:rFonts w:ascii="Courier New" w:hAnsi="Courier New" w:cs="Courier New" w:hint="default"/>
      </w:rPr>
    </w:lvl>
    <w:lvl w:ilvl="2" w:tplc="05F621B0" w:tentative="1">
      <w:start w:val="1"/>
      <w:numFmt w:val="bullet"/>
      <w:lvlText w:val=""/>
      <w:lvlJc w:val="left"/>
      <w:pPr>
        <w:ind w:left="2160" w:hanging="360"/>
      </w:pPr>
      <w:rPr>
        <w:rFonts w:ascii="Wingdings" w:hAnsi="Wingdings" w:hint="default"/>
      </w:rPr>
    </w:lvl>
    <w:lvl w:ilvl="3" w:tplc="AD8AFFC6" w:tentative="1">
      <w:start w:val="1"/>
      <w:numFmt w:val="bullet"/>
      <w:lvlText w:val=""/>
      <w:lvlJc w:val="left"/>
      <w:pPr>
        <w:ind w:left="2880" w:hanging="360"/>
      </w:pPr>
      <w:rPr>
        <w:rFonts w:ascii="Symbol" w:hAnsi="Symbol" w:hint="default"/>
      </w:rPr>
    </w:lvl>
    <w:lvl w:ilvl="4" w:tplc="D21AE81C" w:tentative="1">
      <w:start w:val="1"/>
      <w:numFmt w:val="bullet"/>
      <w:lvlText w:val="o"/>
      <w:lvlJc w:val="left"/>
      <w:pPr>
        <w:ind w:left="3600" w:hanging="360"/>
      </w:pPr>
      <w:rPr>
        <w:rFonts w:ascii="Courier New" w:hAnsi="Courier New" w:cs="Courier New" w:hint="default"/>
      </w:rPr>
    </w:lvl>
    <w:lvl w:ilvl="5" w:tplc="FB9E9F34" w:tentative="1">
      <w:start w:val="1"/>
      <w:numFmt w:val="bullet"/>
      <w:lvlText w:val=""/>
      <w:lvlJc w:val="left"/>
      <w:pPr>
        <w:ind w:left="4320" w:hanging="360"/>
      </w:pPr>
      <w:rPr>
        <w:rFonts w:ascii="Wingdings" w:hAnsi="Wingdings" w:hint="default"/>
      </w:rPr>
    </w:lvl>
    <w:lvl w:ilvl="6" w:tplc="298C480C" w:tentative="1">
      <w:start w:val="1"/>
      <w:numFmt w:val="bullet"/>
      <w:lvlText w:val=""/>
      <w:lvlJc w:val="left"/>
      <w:pPr>
        <w:ind w:left="5040" w:hanging="360"/>
      </w:pPr>
      <w:rPr>
        <w:rFonts w:ascii="Symbol" w:hAnsi="Symbol" w:hint="default"/>
      </w:rPr>
    </w:lvl>
    <w:lvl w:ilvl="7" w:tplc="8C1EC58C" w:tentative="1">
      <w:start w:val="1"/>
      <w:numFmt w:val="bullet"/>
      <w:lvlText w:val="o"/>
      <w:lvlJc w:val="left"/>
      <w:pPr>
        <w:ind w:left="5760" w:hanging="360"/>
      </w:pPr>
      <w:rPr>
        <w:rFonts w:ascii="Courier New" w:hAnsi="Courier New" w:cs="Courier New" w:hint="default"/>
      </w:rPr>
    </w:lvl>
    <w:lvl w:ilvl="8" w:tplc="2108A3BC" w:tentative="1">
      <w:start w:val="1"/>
      <w:numFmt w:val="bullet"/>
      <w:lvlText w:val=""/>
      <w:lvlJc w:val="left"/>
      <w:pPr>
        <w:ind w:left="6480" w:hanging="360"/>
      </w:pPr>
      <w:rPr>
        <w:rFonts w:ascii="Wingdings" w:hAnsi="Wingdings" w:hint="default"/>
      </w:rPr>
    </w:lvl>
  </w:abstractNum>
  <w:abstractNum w:abstractNumId="4" w15:restartNumberingAfterBreak="0">
    <w:nsid w:val="7F1F22CA"/>
    <w:multiLevelType w:val="hybridMultilevel"/>
    <w:tmpl w:val="1E0ACD22"/>
    <w:lvl w:ilvl="0" w:tplc="9AA4F16A">
      <w:start w:val="1"/>
      <w:numFmt w:val="bullet"/>
      <w:lvlText w:val=""/>
      <w:lvlJc w:val="left"/>
      <w:pPr>
        <w:ind w:left="720" w:hanging="360"/>
      </w:pPr>
      <w:rPr>
        <w:rFonts w:ascii="Symbol" w:hAnsi="Symbol" w:hint="default"/>
      </w:rPr>
    </w:lvl>
    <w:lvl w:ilvl="1" w:tplc="1E70EE4A" w:tentative="1">
      <w:start w:val="1"/>
      <w:numFmt w:val="bullet"/>
      <w:lvlText w:val="o"/>
      <w:lvlJc w:val="left"/>
      <w:pPr>
        <w:ind w:left="1440" w:hanging="360"/>
      </w:pPr>
      <w:rPr>
        <w:rFonts w:ascii="Courier New" w:hAnsi="Courier New" w:cs="Courier New" w:hint="default"/>
      </w:rPr>
    </w:lvl>
    <w:lvl w:ilvl="2" w:tplc="5530831E" w:tentative="1">
      <w:start w:val="1"/>
      <w:numFmt w:val="bullet"/>
      <w:lvlText w:val=""/>
      <w:lvlJc w:val="left"/>
      <w:pPr>
        <w:ind w:left="2160" w:hanging="360"/>
      </w:pPr>
      <w:rPr>
        <w:rFonts w:ascii="Wingdings" w:hAnsi="Wingdings" w:hint="default"/>
      </w:rPr>
    </w:lvl>
    <w:lvl w:ilvl="3" w:tplc="908E4530" w:tentative="1">
      <w:start w:val="1"/>
      <w:numFmt w:val="bullet"/>
      <w:lvlText w:val=""/>
      <w:lvlJc w:val="left"/>
      <w:pPr>
        <w:ind w:left="2880" w:hanging="360"/>
      </w:pPr>
      <w:rPr>
        <w:rFonts w:ascii="Symbol" w:hAnsi="Symbol" w:hint="default"/>
      </w:rPr>
    </w:lvl>
    <w:lvl w:ilvl="4" w:tplc="C0B435B2" w:tentative="1">
      <w:start w:val="1"/>
      <w:numFmt w:val="bullet"/>
      <w:lvlText w:val="o"/>
      <w:lvlJc w:val="left"/>
      <w:pPr>
        <w:ind w:left="3600" w:hanging="360"/>
      </w:pPr>
      <w:rPr>
        <w:rFonts w:ascii="Courier New" w:hAnsi="Courier New" w:cs="Courier New" w:hint="default"/>
      </w:rPr>
    </w:lvl>
    <w:lvl w:ilvl="5" w:tplc="41ACCB26" w:tentative="1">
      <w:start w:val="1"/>
      <w:numFmt w:val="bullet"/>
      <w:lvlText w:val=""/>
      <w:lvlJc w:val="left"/>
      <w:pPr>
        <w:ind w:left="4320" w:hanging="360"/>
      </w:pPr>
      <w:rPr>
        <w:rFonts w:ascii="Wingdings" w:hAnsi="Wingdings" w:hint="default"/>
      </w:rPr>
    </w:lvl>
    <w:lvl w:ilvl="6" w:tplc="1AF6AEBA" w:tentative="1">
      <w:start w:val="1"/>
      <w:numFmt w:val="bullet"/>
      <w:lvlText w:val=""/>
      <w:lvlJc w:val="left"/>
      <w:pPr>
        <w:ind w:left="5040" w:hanging="360"/>
      </w:pPr>
      <w:rPr>
        <w:rFonts w:ascii="Symbol" w:hAnsi="Symbol" w:hint="default"/>
      </w:rPr>
    </w:lvl>
    <w:lvl w:ilvl="7" w:tplc="90A805F6" w:tentative="1">
      <w:start w:val="1"/>
      <w:numFmt w:val="bullet"/>
      <w:lvlText w:val="o"/>
      <w:lvlJc w:val="left"/>
      <w:pPr>
        <w:ind w:left="5760" w:hanging="360"/>
      </w:pPr>
      <w:rPr>
        <w:rFonts w:ascii="Courier New" w:hAnsi="Courier New" w:cs="Courier New" w:hint="default"/>
      </w:rPr>
    </w:lvl>
    <w:lvl w:ilvl="8" w:tplc="249857BE"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9F"/>
    <w:rsid w:val="00000A70"/>
    <w:rsid w:val="000032B8"/>
    <w:rsid w:val="00003B06"/>
    <w:rsid w:val="000046B9"/>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390"/>
    <w:rsid w:val="0004762E"/>
    <w:rsid w:val="000532BD"/>
    <w:rsid w:val="000555E0"/>
    <w:rsid w:val="00055C12"/>
    <w:rsid w:val="00057EB4"/>
    <w:rsid w:val="000608B0"/>
    <w:rsid w:val="0006104C"/>
    <w:rsid w:val="00064BF2"/>
    <w:rsid w:val="000667BA"/>
    <w:rsid w:val="000676A7"/>
    <w:rsid w:val="00073914"/>
    <w:rsid w:val="00074236"/>
    <w:rsid w:val="000746BD"/>
    <w:rsid w:val="00076D7D"/>
    <w:rsid w:val="00077A8C"/>
    <w:rsid w:val="00080D95"/>
    <w:rsid w:val="00090E6B"/>
    <w:rsid w:val="00091B2C"/>
    <w:rsid w:val="00092ABC"/>
    <w:rsid w:val="000970D9"/>
    <w:rsid w:val="00097AAF"/>
    <w:rsid w:val="00097D13"/>
    <w:rsid w:val="000A268C"/>
    <w:rsid w:val="000A4893"/>
    <w:rsid w:val="000A54E0"/>
    <w:rsid w:val="000A72C4"/>
    <w:rsid w:val="000B0F30"/>
    <w:rsid w:val="000B1486"/>
    <w:rsid w:val="000B3455"/>
    <w:rsid w:val="000B3E61"/>
    <w:rsid w:val="000B54AF"/>
    <w:rsid w:val="000B6090"/>
    <w:rsid w:val="000B6FEE"/>
    <w:rsid w:val="000C12C4"/>
    <w:rsid w:val="000C49DA"/>
    <w:rsid w:val="000C4B3D"/>
    <w:rsid w:val="000C6DC1"/>
    <w:rsid w:val="000C6E20"/>
    <w:rsid w:val="000C76D7"/>
    <w:rsid w:val="000C7F1D"/>
    <w:rsid w:val="000D19CB"/>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47A"/>
    <w:rsid w:val="00113522"/>
    <w:rsid w:val="0011378D"/>
    <w:rsid w:val="00114C16"/>
    <w:rsid w:val="00115EE9"/>
    <w:rsid w:val="001169F9"/>
    <w:rsid w:val="00116DA4"/>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581F"/>
    <w:rsid w:val="001B75B8"/>
    <w:rsid w:val="001C1230"/>
    <w:rsid w:val="001C43BB"/>
    <w:rsid w:val="001C60B5"/>
    <w:rsid w:val="001C61B0"/>
    <w:rsid w:val="001C7957"/>
    <w:rsid w:val="001C7DB8"/>
    <w:rsid w:val="001C7EA8"/>
    <w:rsid w:val="001D1711"/>
    <w:rsid w:val="001D1E4D"/>
    <w:rsid w:val="001D2A01"/>
    <w:rsid w:val="001D2EF6"/>
    <w:rsid w:val="001D37A8"/>
    <w:rsid w:val="001D462E"/>
    <w:rsid w:val="001E2CAD"/>
    <w:rsid w:val="001E34DB"/>
    <w:rsid w:val="001E37CD"/>
    <w:rsid w:val="001E4070"/>
    <w:rsid w:val="001E655E"/>
    <w:rsid w:val="001F3CB8"/>
    <w:rsid w:val="001F4D6A"/>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B9E"/>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4FF9"/>
    <w:rsid w:val="00296FF0"/>
    <w:rsid w:val="002A17C0"/>
    <w:rsid w:val="002A48DF"/>
    <w:rsid w:val="002A5A84"/>
    <w:rsid w:val="002A6E6F"/>
    <w:rsid w:val="002A74E4"/>
    <w:rsid w:val="002A7CFE"/>
    <w:rsid w:val="002B26DD"/>
    <w:rsid w:val="002B2870"/>
    <w:rsid w:val="002B391B"/>
    <w:rsid w:val="002B5B42"/>
    <w:rsid w:val="002B5CF0"/>
    <w:rsid w:val="002B7BA7"/>
    <w:rsid w:val="002C1C17"/>
    <w:rsid w:val="002C3203"/>
    <w:rsid w:val="002C3B07"/>
    <w:rsid w:val="002C532B"/>
    <w:rsid w:val="002C5713"/>
    <w:rsid w:val="002C6DED"/>
    <w:rsid w:val="002D05CC"/>
    <w:rsid w:val="002D305A"/>
    <w:rsid w:val="002E21B8"/>
    <w:rsid w:val="002E7B00"/>
    <w:rsid w:val="002E7DF9"/>
    <w:rsid w:val="002F097B"/>
    <w:rsid w:val="002F2147"/>
    <w:rsid w:val="002F3111"/>
    <w:rsid w:val="002F4AEC"/>
    <w:rsid w:val="002F795D"/>
    <w:rsid w:val="00300823"/>
    <w:rsid w:val="00300D7F"/>
    <w:rsid w:val="00301638"/>
    <w:rsid w:val="00303B0C"/>
    <w:rsid w:val="0030459C"/>
    <w:rsid w:val="003057E9"/>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3CDC"/>
    <w:rsid w:val="003544CE"/>
    <w:rsid w:val="00355A98"/>
    <w:rsid w:val="00355D7E"/>
    <w:rsid w:val="003568DE"/>
    <w:rsid w:val="00357B23"/>
    <w:rsid w:val="00357CA1"/>
    <w:rsid w:val="00361FE9"/>
    <w:rsid w:val="003624F2"/>
    <w:rsid w:val="0036360E"/>
    <w:rsid w:val="00363854"/>
    <w:rsid w:val="00364315"/>
    <w:rsid w:val="003643E2"/>
    <w:rsid w:val="00370155"/>
    <w:rsid w:val="003712D5"/>
    <w:rsid w:val="003747DF"/>
    <w:rsid w:val="003760AC"/>
    <w:rsid w:val="00377BB4"/>
    <w:rsid w:val="00377E3D"/>
    <w:rsid w:val="00382BD9"/>
    <w:rsid w:val="003847E8"/>
    <w:rsid w:val="0038731D"/>
    <w:rsid w:val="00387B60"/>
    <w:rsid w:val="00390098"/>
    <w:rsid w:val="00392DA1"/>
    <w:rsid w:val="00393718"/>
    <w:rsid w:val="003A0296"/>
    <w:rsid w:val="003A10BC"/>
    <w:rsid w:val="003A3249"/>
    <w:rsid w:val="003A5A25"/>
    <w:rsid w:val="003B1501"/>
    <w:rsid w:val="003B185E"/>
    <w:rsid w:val="003B198A"/>
    <w:rsid w:val="003B1CA3"/>
    <w:rsid w:val="003B1ED9"/>
    <w:rsid w:val="003B2891"/>
    <w:rsid w:val="003B3DF3"/>
    <w:rsid w:val="003B3EE1"/>
    <w:rsid w:val="003B48E2"/>
    <w:rsid w:val="003B4FA1"/>
    <w:rsid w:val="003B5BAD"/>
    <w:rsid w:val="003B66B6"/>
    <w:rsid w:val="003B7984"/>
    <w:rsid w:val="003B7AF6"/>
    <w:rsid w:val="003C0411"/>
    <w:rsid w:val="003C1871"/>
    <w:rsid w:val="003C1C55"/>
    <w:rsid w:val="003C25EA"/>
    <w:rsid w:val="003C36FD"/>
    <w:rsid w:val="003C4AD2"/>
    <w:rsid w:val="003C664C"/>
    <w:rsid w:val="003D726D"/>
    <w:rsid w:val="003E0875"/>
    <w:rsid w:val="003E0BB8"/>
    <w:rsid w:val="003E6CB0"/>
    <w:rsid w:val="003F1851"/>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36F7D"/>
    <w:rsid w:val="00441016"/>
    <w:rsid w:val="00441F2F"/>
    <w:rsid w:val="0044228B"/>
    <w:rsid w:val="00447018"/>
    <w:rsid w:val="00447BF5"/>
    <w:rsid w:val="00450561"/>
    <w:rsid w:val="00450A40"/>
    <w:rsid w:val="00451D7C"/>
    <w:rsid w:val="00452FC3"/>
    <w:rsid w:val="00454715"/>
    <w:rsid w:val="00455936"/>
    <w:rsid w:val="00455ACE"/>
    <w:rsid w:val="004567DA"/>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31F9"/>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2AB4"/>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3F84"/>
    <w:rsid w:val="005269CE"/>
    <w:rsid w:val="00527215"/>
    <w:rsid w:val="005304B2"/>
    <w:rsid w:val="005336BD"/>
    <w:rsid w:val="00534A49"/>
    <w:rsid w:val="005363BB"/>
    <w:rsid w:val="00541B98"/>
    <w:rsid w:val="00543374"/>
    <w:rsid w:val="00545548"/>
    <w:rsid w:val="00546923"/>
    <w:rsid w:val="00551CA6"/>
    <w:rsid w:val="00555034"/>
    <w:rsid w:val="005570D2"/>
    <w:rsid w:val="00560AE5"/>
    <w:rsid w:val="00561528"/>
    <w:rsid w:val="0056153F"/>
    <w:rsid w:val="00561B14"/>
    <w:rsid w:val="00562C87"/>
    <w:rsid w:val="005636BD"/>
    <w:rsid w:val="005666D5"/>
    <w:rsid w:val="005669A7"/>
    <w:rsid w:val="005704FB"/>
    <w:rsid w:val="00573401"/>
    <w:rsid w:val="00576188"/>
    <w:rsid w:val="00576714"/>
    <w:rsid w:val="0057685A"/>
    <w:rsid w:val="005832EE"/>
    <w:rsid w:val="005847EF"/>
    <w:rsid w:val="005851E6"/>
    <w:rsid w:val="00585523"/>
    <w:rsid w:val="005878B7"/>
    <w:rsid w:val="00592C9A"/>
    <w:rsid w:val="00593549"/>
    <w:rsid w:val="00593DF8"/>
    <w:rsid w:val="00595745"/>
    <w:rsid w:val="00597B91"/>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3E7"/>
    <w:rsid w:val="005F5679"/>
    <w:rsid w:val="005F5FDF"/>
    <w:rsid w:val="005F6960"/>
    <w:rsid w:val="005F7000"/>
    <w:rsid w:val="005F7AAA"/>
    <w:rsid w:val="00600BAA"/>
    <w:rsid w:val="006012DA"/>
    <w:rsid w:val="00603B0F"/>
    <w:rsid w:val="006049F5"/>
    <w:rsid w:val="00605F7B"/>
    <w:rsid w:val="00607E64"/>
    <w:rsid w:val="006106E9"/>
    <w:rsid w:val="0061159E"/>
    <w:rsid w:val="006127D2"/>
    <w:rsid w:val="00613676"/>
    <w:rsid w:val="00614633"/>
    <w:rsid w:val="00614BC8"/>
    <w:rsid w:val="006151FB"/>
    <w:rsid w:val="00617411"/>
    <w:rsid w:val="0062170F"/>
    <w:rsid w:val="00621AAA"/>
    <w:rsid w:val="006249CB"/>
    <w:rsid w:val="006272DD"/>
    <w:rsid w:val="00630963"/>
    <w:rsid w:val="00631897"/>
    <w:rsid w:val="00632928"/>
    <w:rsid w:val="006330DA"/>
    <w:rsid w:val="00633262"/>
    <w:rsid w:val="00633460"/>
    <w:rsid w:val="00635B6D"/>
    <w:rsid w:val="006402E7"/>
    <w:rsid w:val="00640CB6"/>
    <w:rsid w:val="00641B42"/>
    <w:rsid w:val="00645750"/>
    <w:rsid w:val="00650692"/>
    <w:rsid w:val="006508D3"/>
    <w:rsid w:val="00650AFA"/>
    <w:rsid w:val="00651E57"/>
    <w:rsid w:val="00654A0B"/>
    <w:rsid w:val="00662B77"/>
    <w:rsid w:val="00662D0E"/>
    <w:rsid w:val="00663265"/>
    <w:rsid w:val="0066345F"/>
    <w:rsid w:val="0066485B"/>
    <w:rsid w:val="0067036E"/>
    <w:rsid w:val="00671693"/>
    <w:rsid w:val="006757AA"/>
    <w:rsid w:val="0068127E"/>
    <w:rsid w:val="00681790"/>
    <w:rsid w:val="006823AA"/>
    <w:rsid w:val="0068302A"/>
    <w:rsid w:val="00683300"/>
    <w:rsid w:val="00684B98"/>
    <w:rsid w:val="00685DC9"/>
    <w:rsid w:val="00687465"/>
    <w:rsid w:val="006907CF"/>
    <w:rsid w:val="00691599"/>
    <w:rsid w:val="00691CCF"/>
    <w:rsid w:val="00693AFA"/>
    <w:rsid w:val="00695101"/>
    <w:rsid w:val="00695B9A"/>
    <w:rsid w:val="00696563"/>
    <w:rsid w:val="00696A01"/>
    <w:rsid w:val="006979F8"/>
    <w:rsid w:val="006A3487"/>
    <w:rsid w:val="006A49CA"/>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28A"/>
    <w:rsid w:val="00703E80"/>
    <w:rsid w:val="00705276"/>
    <w:rsid w:val="007066A0"/>
    <w:rsid w:val="007075FB"/>
    <w:rsid w:val="0070787B"/>
    <w:rsid w:val="0071131D"/>
    <w:rsid w:val="00711E3D"/>
    <w:rsid w:val="00711E85"/>
    <w:rsid w:val="00712DDA"/>
    <w:rsid w:val="00717081"/>
    <w:rsid w:val="00717739"/>
    <w:rsid w:val="00717DE4"/>
    <w:rsid w:val="00721724"/>
    <w:rsid w:val="00722EC5"/>
    <w:rsid w:val="00723326"/>
    <w:rsid w:val="00724252"/>
    <w:rsid w:val="00725AF9"/>
    <w:rsid w:val="00727E7A"/>
    <w:rsid w:val="0073163C"/>
    <w:rsid w:val="00731DE3"/>
    <w:rsid w:val="00735B9D"/>
    <w:rsid w:val="007365A5"/>
    <w:rsid w:val="00736FB0"/>
    <w:rsid w:val="007404BC"/>
    <w:rsid w:val="00740D13"/>
    <w:rsid w:val="00740F5F"/>
    <w:rsid w:val="00742794"/>
    <w:rsid w:val="00743C4C"/>
    <w:rsid w:val="00744312"/>
    <w:rsid w:val="007445B7"/>
    <w:rsid w:val="00744920"/>
    <w:rsid w:val="007509BE"/>
    <w:rsid w:val="0075287B"/>
    <w:rsid w:val="00755C7B"/>
    <w:rsid w:val="00764786"/>
    <w:rsid w:val="00766E12"/>
    <w:rsid w:val="0077098E"/>
    <w:rsid w:val="00771287"/>
    <w:rsid w:val="0077149E"/>
    <w:rsid w:val="00777518"/>
    <w:rsid w:val="0077779E"/>
    <w:rsid w:val="00780FB6"/>
    <w:rsid w:val="007838DB"/>
    <w:rsid w:val="0078552A"/>
    <w:rsid w:val="00785729"/>
    <w:rsid w:val="00786058"/>
    <w:rsid w:val="0079487D"/>
    <w:rsid w:val="007966D4"/>
    <w:rsid w:val="00796A0A"/>
    <w:rsid w:val="0079792C"/>
    <w:rsid w:val="007A0989"/>
    <w:rsid w:val="007A331F"/>
    <w:rsid w:val="007A3844"/>
    <w:rsid w:val="007A4381"/>
    <w:rsid w:val="007A5466"/>
    <w:rsid w:val="007A7EC1"/>
    <w:rsid w:val="007B2C7B"/>
    <w:rsid w:val="007B4FCA"/>
    <w:rsid w:val="007B7B85"/>
    <w:rsid w:val="007C279F"/>
    <w:rsid w:val="007C454E"/>
    <w:rsid w:val="007C462E"/>
    <w:rsid w:val="007C496B"/>
    <w:rsid w:val="007C6803"/>
    <w:rsid w:val="007D2892"/>
    <w:rsid w:val="007D2DCC"/>
    <w:rsid w:val="007D47E1"/>
    <w:rsid w:val="007D7FCB"/>
    <w:rsid w:val="007E33B6"/>
    <w:rsid w:val="007E59E8"/>
    <w:rsid w:val="007F10DA"/>
    <w:rsid w:val="007F3861"/>
    <w:rsid w:val="007F4162"/>
    <w:rsid w:val="007F5441"/>
    <w:rsid w:val="007F7668"/>
    <w:rsid w:val="00800C63"/>
    <w:rsid w:val="00802243"/>
    <w:rsid w:val="008023D4"/>
    <w:rsid w:val="00804124"/>
    <w:rsid w:val="00805402"/>
    <w:rsid w:val="0080765F"/>
    <w:rsid w:val="00810F98"/>
    <w:rsid w:val="00812BE3"/>
    <w:rsid w:val="00814516"/>
    <w:rsid w:val="00815C9D"/>
    <w:rsid w:val="008170E2"/>
    <w:rsid w:val="00820995"/>
    <w:rsid w:val="00821D01"/>
    <w:rsid w:val="00823E4C"/>
    <w:rsid w:val="00827749"/>
    <w:rsid w:val="00827B7E"/>
    <w:rsid w:val="00830EEB"/>
    <w:rsid w:val="0083418A"/>
    <w:rsid w:val="008347A9"/>
    <w:rsid w:val="00835628"/>
    <w:rsid w:val="00835E90"/>
    <w:rsid w:val="0084176D"/>
    <w:rsid w:val="008423E4"/>
    <w:rsid w:val="00842900"/>
    <w:rsid w:val="00850CF0"/>
    <w:rsid w:val="00850E29"/>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2BE6"/>
    <w:rsid w:val="00874C05"/>
    <w:rsid w:val="0087588B"/>
    <w:rsid w:val="0087680A"/>
    <w:rsid w:val="008806EB"/>
    <w:rsid w:val="008826F2"/>
    <w:rsid w:val="00882C4B"/>
    <w:rsid w:val="008845BA"/>
    <w:rsid w:val="00884AE3"/>
    <w:rsid w:val="00885203"/>
    <w:rsid w:val="008859CA"/>
    <w:rsid w:val="008861EE"/>
    <w:rsid w:val="00887965"/>
    <w:rsid w:val="00890B59"/>
    <w:rsid w:val="008930D7"/>
    <w:rsid w:val="008947A7"/>
    <w:rsid w:val="00897E80"/>
    <w:rsid w:val="008A04FA"/>
    <w:rsid w:val="008A3188"/>
    <w:rsid w:val="008A31AC"/>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15"/>
    <w:rsid w:val="00904721"/>
    <w:rsid w:val="0090697E"/>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03C6"/>
    <w:rsid w:val="009418E9"/>
    <w:rsid w:val="009448CF"/>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167"/>
    <w:rsid w:val="009B00C2"/>
    <w:rsid w:val="009B0B6D"/>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F19"/>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236"/>
    <w:rsid w:val="00A02588"/>
    <w:rsid w:val="00A02D81"/>
    <w:rsid w:val="00A03F54"/>
    <w:rsid w:val="00A0432D"/>
    <w:rsid w:val="00A07689"/>
    <w:rsid w:val="00A07906"/>
    <w:rsid w:val="00A10908"/>
    <w:rsid w:val="00A12330"/>
    <w:rsid w:val="00A1259F"/>
    <w:rsid w:val="00A143DA"/>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0E51"/>
    <w:rsid w:val="00A61C27"/>
    <w:rsid w:val="00A62638"/>
    <w:rsid w:val="00A6344D"/>
    <w:rsid w:val="00A644B8"/>
    <w:rsid w:val="00A70E35"/>
    <w:rsid w:val="00A720DC"/>
    <w:rsid w:val="00A803CF"/>
    <w:rsid w:val="00A8133F"/>
    <w:rsid w:val="00A82CB4"/>
    <w:rsid w:val="00A837A8"/>
    <w:rsid w:val="00A83C36"/>
    <w:rsid w:val="00A87D0A"/>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6752"/>
    <w:rsid w:val="00AB74E2"/>
    <w:rsid w:val="00AC0B12"/>
    <w:rsid w:val="00AC2E9A"/>
    <w:rsid w:val="00AC5AAB"/>
    <w:rsid w:val="00AC5AEC"/>
    <w:rsid w:val="00AC5F28"/>
    <w:rsid w:val="00AC6900"/>
    <w:rsid w:val="00AD304B"/>
    <w:rsid w:val="00AD4497"/>
    <w:rsid w:val="00AD7780"/>
    <w:rsid w:val="00AE2263"/>
    <w:rsid w:val="00AE248E"/>
    <w:rsid w:val="00AE2D12"/>
    <w:rsid w:val="00AE2F06"/>
    <w:rsid w:val="00AE3A80"/>
    <w:rsid w:val="00AE4F1C"/>
    <w:rsid w:val="00AF124F"/>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04C"/>
    <w:rsid w:val="00B31F0E"/>
    <w:rsid w:val="00B33870"/>
    <w:rsid w:val="00B34F25"/>
    <w:rsid w:val="00B43672"/>
    <w:rsid w:val="00B473D8"/>
    <w:rsid w:val="00B5165A"/>
    <w:rsid w:val="00B524C1"/>
    <w:rsid w:val="00B5292B"/>
    <w:rsid w:val="00B52C8D"/>
    <w:rsid w:val="00B564BF"/>
    <w:rsid w:val="00B6104E"/>
    <w:rsid w:val="00B610C7"/>
    <w:rsid w:val="00B62106"/>
    <w:rsid w:val="00B626A8"/>
    <w:rsid w:val="00B62BE7"/>
    <w:rsid w:val="00B65541"/>
    <w:rsid w:val="00B65695"/>
    <w:rsid w:val="00B66526"/>
    <w:rsid w:val="00B665A3"/>
    <w:rsid w:val="00B73865"/>
    <w:rsid w:val="00B73BB4"/>
    <w:rsid w:val="00B80532"/>
    <w:rsid w:val="00B82039"/>
    <w:rsid w:val="00B82454"/>
    <w:rsid w:val="00B90097"/>
    <w:rsid w:val="00B90999"/>
    <w:rsid w:val="00B91AD7"/>
    <w:rsid w:val="00B92D23"/>
    <w:rsid w:val="00B95BC8"/>
    <w:rsid w:val="00B96E87"/>
    <w:rsid w:val="00BA146A"/>
    <w:rsid w:val="00BA2172"/>
    <w:rsid w:val="00BA32EE"/>
    <w:rsid w:val="00BB5B36"/>
    <w:rsid w:val="00BB7A19"/>
    <w:rsid w:val="00BC027B"/>
    <w:rsid w:val="00BC30A6"/>
    <w:rsid w:val="00BC3ED3"/>
    <w:rsid w:val="00BC3EF6"/>
    <w:rsid w:val="00BC4E34"/>
    <w:rsid w:val="00BC51D0"/>
    <w:rsid w:val="00BC5633"/>
    <w:rsid w:val="00BC58E1"/>
    <w:rsid w:val="00BC59CA"/>
    <w:rsid w:val="00BC6462"/>
    <w:rsid w:val="00BD0A32"/>
    <w:rsid w:val="00BD243A"/>
    <w:rsid w:val="00BD4E55"/>
    <w:rsid w:val="00BD513B"/>
    <w:rsid w:val="00BD5E52"/>
    <w:rsid w:val="00BE00CD"/>
    <w:rsid w:val="00BE0E75"/>
    <w:rsid w:val="00BE1789"/>
    <w:rsid w:val="00BE294A"/>
    <w:rsid w:val="00BE3634"/>
    <w:rsid w:val="00BE3E30"/>
    <w:rsid w:val="00BE5274"/>
    <w:rsid w:val="00BE71CD"/>
    <w:rsid w:val="00BE7748"/>
    <w:rsid w:val="00BE7BDA"/>
    <w:rsid w:val="00BF0548"/>
    <w:rsid w:val="00BF4949"/>
    <w:rsid w:val="00BF4D7C"/>
    <w:rsid w:val="00BF5085"/>
    <w:rsid w:val="00BF6268"/>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646D"/>
    <w:rsid w:val="00C2766F"/>
    <w:rsid w:val="00C27911"/>
    <w:rsid w:val="00C3223B"/>
    <w:rsid w:val="00C333C6"/>
    <w:rsid w:val="00C35CC5"/>
    <w:rsid w:val="00C361C5"/>
    <w:rsid w:val="00C377D1"/>
    <w:rsid w:val="00C37BDA"/>
    <w:rsid w:val="00C37C84"/>
    <w:rsid w:val="00C42B41"/>
    <w:rsid w:val="00C45EB6"/>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6B95"/>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519"/>
    <w:rsid w:val="00D03176"/>
    <w:rsid w:val="00D060A8"/>
    <w:rsid w:val="00D06605"/>
    <w:rsid w:val="00D0720F"/>
    <w:rsid w:val="00D074E2"/>
    <w:rsid w:val="00D11632"/>
    <w:rsid w:val="00D11B0B"/>
    <w:rsid w:val="00D12A3E"/>
    <w:rsid w:val="00D22160"/>
    <w:rsid w:val="00D22172"/>
    <w:rsid w:val="00D2301B"/>
    <w:rsid w:val="00D239EE"/>
    <w:rsid w:val="00D274E7"/>
    <w:rsid w:val="00D30534"/>
    <w:rsid w:val="00D30C27"/>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FCF"/>
    <w:rsid w:val="00D6131A"/>
    <w:rsid w:val="00D61611"/>
    <w:rsid w:val="00D61784"/>
    <w:rsid w:val="00D6178A"/>
    <w:rsid w:val="00D63B53"/>
    <w:rsid w:val="00D64B88"/>
    <w:rsid w:val="00D64DC5"/>
    <w:rsid w:val="00D66BA6"/>
    <w:rsid w:val="00D700B1"/>
    <w:rsid w:val="00D730FA"/>
    <w:rsid w:val="00D75429"/>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6F3"/>
    <w:rsid w:val="00DD1B8F"/>
    <w:rsid w:val="00DD1C85"/>
    <w:rsid w:val="00DD5BCC"/>
    <w:rsid w:val="00DD7509"/>
    <w:rsid w:val="00DD79C7"/>
    <w:rsid w:val="00DD7D6E"/>
    <w:rsid w:val="00DE34B2"/>
    <w:rsid w:val="00DE49DE"/>
    <w:rsid w:val="00DE618B"/>
    <w:rsid w:val="00DE6EC2"/>
    <w:rsid w:val="00DE72DC"/>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63B"/>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BD2"/>
    <w:rsid w:val="00E667F3"/>
    <w:rsid w:val="00E67794"/>
    <w:rsid w:val="00E70CC6"/>
    <w:rsid w:val="00E71254"/>
    <w:rsid w:val="00E71770"/>
    <w:rsid w:val="00E73CCD"/>
    <w:rsid w:val="00E76453"/>
    <w:rsid w:val="00E77353"/>
    <w:rsid w:val="00E775AE"/>
    <w:rsid w:val="00E8272C"/>
    <w:rsid w:val="00E827C7"/>
    <w:rsid w:val="00E85DBD"/>
    <w:rsid w:val="00E87A99"/>
    <w:rsid w:val="00E90702"/>
    <w:rsid w:val="00E91F02"/>
    <w:rsid w:val="00E9241E"/>
    <w:rsid w:val="00E93DEF"/>
    <w:rsid w:val="00E947B1"/>
    <w:rsid w:val="00E94A78"/>
    <w:rsid w:val="00E96852"/>
    <w:rsid w:val="00E97D36"/>
    <w:rsid w:val="00EA16AC"/>
    <w:rsid w:val="00EA385A"/>
    <w:rsid w:val="00EA3931"/>
    <w:rsid w:val="00EA658E"/>
    <w:rsid w:val="00EA7A88"/>
    <w:rsid w:val="00EA7B33"/>
    <w:rsid w:val="00EA7FD2"/>
    <w:rsid w:val="00EB27F2"/>
    <w:rsid w:val="00EB3928"/>
    <w:rsid w:val="00EB5373"/>
    <w:rsid w:val="00EB6347"/>
    <w:rsid w:val="00EB7012"/>
    <w:rsid w:val="00EC02A2"/>
    <w:rsid w:val="00EC379B"/>
    <w:rsid w:val="00EC37DF"/>
    <w:rsid w:val="00EC3A99"/>
    <w:rsid w:val="00EC41B1"/>
    <w:rsid w:val="00EC741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754A"/>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4C6E"/>
    <w:rsid w:val="00F4569E"/>
    <w:rsid w:val="00F45AFC"/>
    <w:rsid w:val="00F462F4"/>
    <w:rsid w:val="00F46C88"/>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C7D5A"/>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5202"/>
    <w:rsid w:val="00FF5A8B"/>
    <w:rsid w:val="00FF673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9B9E59-75C4-4750-91FD-72FD23AF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04715"/>
    <w:rPr>
      <w:sz w:val="16"/>
      <w:szCs w:val="16"/>
    </w:rPr>
  </w:style>
  <w:style w:type="paragraph" w:styleId="CommentText">
    <w:name w:val="annotation text"/>
    <w:basedOn w:val="Normal"/>
    <w:link w:val="CommentTextChar"/>
    <w:semiHidden/>
    <w:unhideWhenUsed/>
    <w:rsid w:val="00904715"/>
    <w:rPr>
      <w:sz w:val="20"/>
      <w:szCs w:val="20"/>
    </w:rPr>
  </w:style>
  <w:style w:type="character" w:customStyle="1" w:styleId="CommentTextChar">
    <w:name w:val="Comment Text Char"/>
    <w:basedOn w:val="DefaultParagraphFont"/>
    <w:link w:val="CommentText"/>
    <w:semiHidden/>
    <w:rsid w:val="00904715"/>
  </w:style>
  <w:style w:type="paragraph" w:styleId="CommentSubject">
    <w:name w:val="annotation subject"/>
    <w:basedOn w:val="CommentText"/>
    <w:next w:val="CommentText"/>
    <w:link w:val="CommentSubjectChar"/>
    <w:semiHidden/>
    <w:unhideWhenUsed/>
    <w:rsid w:val="00904715"/>
    <w:rPr>
      <w:b/>
      <w:bCs/>
    </w:rPr>
  </w:style>
  <w:style w:type="character" w:customStyle="1" w:styleId="CommentSubjectChar">
    <w:name w:val="Comment Subject Char"/>
    <w:basedOn w:val="CommentTextChar"/>
    <w:link w:val="CommentSubject"/>
    <w:semiHidden/>
    <w:rsid w:val="00904715"/>
    <w:rPr>
      <w:b/>
      <w:bCs/>
    </w:rPr>
  </w:style>
  <w:style w:type="paragraph" w:styleId="Revision">
    <w:name w:val="Revision"/>
    <w:hidden/>
    <w:uiPriority w:val="99"/>
    <w:semiHidden/>
    <w:rsid w:val="000970D9"/>
    <w:rPr>
      <w:sz w:val="24"/>
      <w:szCs w:val="24"/>
    </w:rPr>
  </w:style>
  <w:style w:type="paragraph" w:styleId="ListParagraph">
    <w:name w:val="List Paragraph"/>
    <w:basedOn w:val="Normal"/>
    <w:uiPriority w:val="34"/>
    <w:qFormat/>
    <w:rsid w:val="005F53E7"/>
    <w:pPr>
      <w:ind w:left="720"/>
      <w:contextualSpacing/>
    </w:pPr>
  </w:style>
  <w:style w:type="character" w:styleId="Hyperlink">
    <w:name w:val="Hyperlink"/>
    <w:basedOn w:val="DefaultParagraphFont"/>
    <w:unhideWhenUsed/>
    <w:rsid w:val="00593549"/>
    <w:rPr>
      <w:color w:val="0000FF" w:themeColor="hyperlink"/>
      <w:u w:val="single"/>
    </w:rPr>
  </w:style>
  <w:style w:type="character" w:customStyle="1" w:styleId="UnresolvedMention1">
    <w:name w:val="Unresolved Mention1"/>
    <w:basedOn w:val="DefaultParagraphFont"/>
    <w:uiPriority w:val="99"/>
    <w:semiHidden/>
    <w:unhideWhenUsed/>
    <w:rsid w:val="00593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Words>
  <Characters>7197</Characters>
  <Application>Microsoft Office Word</Application>
  <DocSecurity>4</DocSecurity>
  <Lines>146</Lines>
  <Paragraphs>46</Paragraphs>
  <ScaleCrop>false</ScaleCrop>
  <HeadingPairs>
    <vt:vector size="2" baseType="variant">
      <vt:variant>
        <vt:lpstr>Title</vt:lpstr>
      </vt:variant>
      <vt:variant>
        <vt:i4>1</vt:i4>
      </vt:variant>
    </vt:vector>
  </HeadingPairs>
  <TitlesOfParts>
    <vt:vector size="1" baseType="lpstr">
      <vt:lpstr>BA - HB01322 (Committee Report (Substituted))</vt:lpstr>
    </vt:vector>
  </TitlesOfParts>
  <Company>State of Texas</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24196</dc:subject>
  <dc:creator>State of Texas</dc:creator>
  <dc:description>HB 1322 by Buckley-(H)Insurance (Substitute Document Number: 88R 21068)</dc:description>
  <cp:lastModifiedBy>Matthew Lee</cp:lastModifiedBy>
  <cp:revision>2</cp:revision>
  <cp:lastPrinted>2003-11-26T17:21:00Z</cp:lastPrinted>
  <dcterms:created xsi:type="dcterms:W3CDTF">2023-04-25T01:14:00Z</dcterms:created>
  <dcterms:modified xsi:type="dcterms:W3CDTF">2023-04-25T01:14:00Z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23.108.2727</vt:lpwstr>
  </property>
</Properties>
</file>