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4EC6" w14:paraId="393F8F5B" w14:textId="77777777" w:rsidTr="00345119">
        <w:tc>
          <w:tcPr>
            <w:tcW w:w="9576" w:type="dxa"/>
            <w:noWrap/>
          </w:tcPr>
          <w:p w14:paraId="487B3225" w14:textId="77777777" w:rsidR="008423E4" w:rsidRPr="0022177D" w:rsidRDefault="00A55473" w:rsidP="006F1C4C">
            <w:pPr>
              <w:pStyle w:val="Heading1"/>
            </w:pPr>
            <w:r w:rsidRPr="00631897">
              <w:t>BILL ANALYSIS</w:t>
            </w:r>
          </w:p>
        </w:tc>
      </w:tr>
    </w:tbl>
    <w:p w14:paraId="566B6EB3" w14:textId="77777777" w:rsidR="008423E4" w:rsidRPr="0022177D" w:rsidRDefault="008423E4" w:rsidP="006F1C4C">
      <w:pPr>
        <w:jc w:val="center"/>
      </w:pPr>
    </w:p>
    <w:p w14:paraId="72829E4B" w14:textId="77777777" w:rsidR="008423E4" w:rsidRPr="00B31F0E" w:rsidRDefault="008423E4" w:rsidP="006F1C4C"/>
    <w:p w14:paraId="17FF9836" w14:textId="77777777" w:rsidR="008423E4" w:rsidRPr="00742794" w:rsidRDefault="008423E4" w:rsidP="006F1C4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4EC6" w14:paraId="7DC59D6F" w14:textId="77777777" w:rsidTr="00345119">
        <w:tc>
          <w:tcPr>
            <w:tcW w:w="9576" w:type="dxa"/>
          </w:tcPr>
          <w:p w14:paraId="437F17EC" w14:textId="259AB4CC" w:rsidR="008423E4" w:rsidRPr="00861995" w:rsidRDefault="00A55473" w:rsidP="006F1C4C">
            <w:pPr>
              <w:jc w:val="right"/>
            </w:pPr>
            <w:r>
              <w:t>C.S.H.B. 1372</w:t>
            </w:r>
          </w:p>
        </w:tc>
      </w:tr>
      <w:tr w:rsidR="00A04EC6" w14:paraId="23BA2384" w14:textId="77777777" w:rsidTr="00345119">
        <w:tc>
          <w:tcPr>
            <w:tcW w:w="9576" w:type="dxa"/>
          </w:tcPr>
          <w:p w14:paraId="2135B053" w14:textId="343F5D03" w:rsidR="008423E4" w:rsidRPr="00861995" w:rsidRDefault="00A55473" w:rsidP="006F1C4C">
            <w:pPr>
              <w:jc w:val="right"/>
            </w:pPr>
            <w:r>
              <w:t xml:space="preserve">By: </w:t>
            </w:r>
            <w:r w:rsidR="001B02AB">
              <w:t>Harris, Cody</w:t>
            </w:r>
          </w:p>
        </w:tc>
      </w:tr>
      <w:tr w:rsidR="00A04EC6" w14:paraId="5FDA841A" w14:textId="77777777" w:rsidTr="00345119">
        <w:tc>
          <w:tcPr>
            <w:tcW w:w="9576" w:type="dxa"/>
          </w:tcPr>
          <w:p w14:paraId="36F13DBE" w14:textId="0036CB8D" w:rsidR="008423E4" w:rsidRPr="00861995" w:rsidRDefault="00A55473" w:rsidP="006F1C4C">
            <w:pPr>
              <w:jc w:val="right"/>
            </w:pPr>
            <w:r>
              <w:t>Judiciary &amp; Civil Jurisprudence</w:t>
            </w:r>
          </w:p>
        </w:tc>
      </w:tr>
      <w:tr w:rsidR="00A04EC6" w14:paraId="02F6765F" w14:textId="77777777" w:rsidTr="00345119">
        <w:tc>
          <w:tcPr>
            <w:tcW w:w="9576" w:type="dxa"/>
          </w:tcPr>
          <w:p w14:paraId="5D0AD0BB" w14:textId="112472D5" w:rsidR="008423E4" w:rsidRDefault="00A55473" w:rsidP="006F1C4C">
            <w:pPr>
              <w:jc w:val="right"/>
            </w:pPr>
            <w:r>
              <w:t>Committee Report (Substituted)</w:t>
            </w:r>
          </w:p>
        </w:tc>
      </w:tr>
    </w:tbl>
    <w:p w14:paraId="4427C539" w14:textId="77777777" w:rsidR="008423E4" w:rsidRDefault="008423E4" w:rsidP="006F1C4C">
      <w:pPr>
        <w:tabs>
          <w:tab w:val="right" w:pos="9360"/>
        </w:tabs>
      </w:pPr>
    </w:p>
    <w:p w14:paraId="44C5E3B7" w14:textId="77777777" w:rsidR="008423E4" w:rsidRDefault="008423E4" w:rsidP="006F1C4C"/>
    <w:p w14:paraId="76BDC350" w14:textId="77777777" w:rsidR="008423E4" w:rsidRDefault="008423E4" w:rsidP="006F1C4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4EC6" w14:paraId="485BBA95" w14:textId="77777777" w:rsidTr="00345119">
        <w:tc>
          <w:tcPr>
            <w:tcW w:w="9576" w:type="dxa"/>
          </w:tcPr>
          <w:p w14:paraId="68FABA1D" w14:textId="77777777" w:rsidR="008423E4" w:rsidRPr="00A8133F" w:rsidRDefault="00A55473" w:rsidP="006F1C4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C2D3A8" w14:textId="77777777" w:rsidR="008423E4" w:rsidRDefault="008423E4" w:rsidP="006F1C4C"/>
          <w:p w14:paraId="4B91AB8B" w14:textId="38B9A5A2" w:rsidR="008423E4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004BB">
              <w:t xml:space="preserve">According to Victor E. Schwartz and Phil Goldberg in their article, </w:t>
            </w:r>
            <w:r w:rsidR="0056381F">
              <w:t>"</w:t>
            </w:r>
            <w:r w:rsidRPr="00B004BB">
              <w:t>The Law of Public Nuisance: Maintaining Rational Boundaries on a Rational Tort,</w:t>
            </w:r>
            <w:r w:rsidR="0056381F">
              <w:t>"</w:t>
            </w:r>
            <w:r w:rsidRPr="00B004BB">
              <w:t xml:space="preserve"> the tort of public nuisance has developed over nine centuries of English and American common law. Schwartz</w:t>
            </w:r>
            <w:r w:rsidRPr="00B004BB">
              <w:t xml:space="preserve"> and Goldberg state that the essence of the tort is </w:t>
            </w:r>
            <w:r w:rsidR="0056381F">
              <w:t>"</w:t>
            </w:r>
            <w:r w:rsidRPr="00B004BB">
              <w:t xml:space="preserve">to allow governments to use the tort system to stop quasi-criminal conduct that, while not illegal, is unreasonable give the circumstances and could cause injury to someone exercising a common, societal </w:t>
            </w:r>
            <w:r w:rsidRPr="00B004BB">
              <w:t>right.</w:t>
            </w:r>
            <w:r w:rsidR="0056381F">
              <w:t>"</w:t>
            </w:r>
            <w:r w:rsidRPr="00B004BB">
              <w:t xml:space="preserve"> They state that traditional examples are the blocking of a public roadway or dumping sewage into a public river. However, a</w:t>
            </w:r>
            <w:r w:rsidR="007C48EB">
              <w:t xml:space="preserve">ccording to a study published by the </w:t>
            </w:r>
            <w:r w:rsidR="007C48EB" w:rsidRPr="007C48EB">
              <w:t xml:space="preserve">U.S. Chamber Institute for Legal Reform </w:t>
            </w:r>
            <w:r w:rsidR="007C48EB">
              <w:t xml:space="preserve">in </w:t>
            </w:r>
            <w:r w:rsidR="007C48EB" w:rsidRPr="007C48EB">
              <w:t>March 2019</w:t>
            </w:r>
            <w:r w:rsidR="007C48EB">
              <w:t>, "</w:t>
            </w:r>
            <w:r w:rsidR="007C48EB" w:rsidRPr="007C48EB">
              <w:t>Waking the Litigation Monster,</w:t>
            </w:r>
            <w:r w:rsidR="007C48EB">
              <w:t xml:space="preserve">" </w:t>
            </w:r>
            <w:r w:rsidRPr="00B004BB">
              <w:t xml:space="preserve">the public nuisance cause of action is being misused and expanded and </w:t>
            </w:r>
            <w:r w:rsidR="007C48EB">
              <w:t>l</w:t>
            </w:r>
            <w:r w:rsidR="00191A1A" w:rsidRPr="00191A1A">
              <w:t xml:space="preserve">awsuits </w:t>
            </w:r>
            <w:r w:rsidR="00FC096C">
              <w:t>assert</w:t>
            </w:r>
            <w:r w:rsidR="00191A1A" w:rsidRPr="00191A1A">
              <w:t xml:space="preserve"> that everyday consumer products, as well as economic activities sanctioned and encouraged by the </w:t>
            </w:r>
            <w:r w:rsidR="00191A1A">
              <w:t xml:space="preserve">state </w:t>
            </w:r>
            <w:r w:rsidR="00191A1A" w:rsidRPr="00191A1A">
              <w:t>and federal government, create public nuisances.</w:t>
            </w:r>
            <w:r w:rsidR="00191A1A">
              <w:t xml:space="preserve"> Furthermore, these lawsuits frequently seek monetary damages, whereas injunctive relief was traditionally the exclusive remedy available to abate a nuisance. C.S.H.B.</w:t>
            </w:r>
            <w:r w:rsidR="001A79C2">
              <w:t> </w:t>
            </w:r>
            <w:r w:rsidR="00191A1A">
              <w:t xml:space="preserve">1372 seeks to ensure that the tort of public nuisance is defined clearly and in a manner consistent with the traditional scope of its purposes by codifying </w:t>
            </w:r>
            <w:r w:rsidR="00FC096C">
              <w:t xml:space="preserve">instances when a </w:t>
            </w:r>
            <w:r w:rsidR="00191A1A">
              <w:t>public nuisance cause of action</w:t>
            </w:r>
            <w:r w:rsidR="00FC096C">
              <w:t xml:space="preserve"> may not be recognized by Texas courts</w:t>
            </w:r>
            <w:r w:rsidR="00191A1A">
              <w:t xml:space="preserve">. </w:t>
            </w:r>
          </w:p>
          <w:p w14:paraId="5A77FE18" w14:textId="580B7B9A" w:rsidR="00434B31" w:rsidRPr="00E26B13" w:rsidRDefault="00434B31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04EC6" w14:paraId="1C3C5C2A" w14:textId="77777777" w:rsidTr="00345119">
        <w:tc>
          <w:tcPr>
            <w:tcW w:w="9576" w:type="dxa"/>
          </w:tcPr>
          <w:p w14:paraId="0211B422" w14:textId="77777777" w:rsidR="0017725B" w:rsidRDefault="00A55473" w:rsidP="006F1C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383332" w14:textId="77777777" w:rsidR="0017725B" w:rsidRDefault="0017725B" w:rsidP="006F1C4C">
            <w:pPr>
              <w:rPr>
                <w:b/>
                <w:u w:val="single"/>
              </w:rPr>
            </w:pPr>
          </w:p>
          <w:p w14:paraId="45BD0058" w14:textId="7EC3180A" w:rsidR="00681213" w:rsidRPr="00681213" w:rsidRDefault="00A55473" w:rsidP="006F1C4C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0ECE526A" w14:textId="77777777" w:rsidR="0017725B" w:rsidRPr="0017725B" w:rsidRDefault="0017725B" w:rsidP="006F1C4C">
            <w:pPr>
              <w:rPr>
                <w:b/>
                <w:u w:val="single"/>
              </w:rPr>
            </w:pPr>
          </w:p>
        </w:tc>
      </w:tr>
      <w:tr w:rsidR="00A04EC6" w14:paraId="24A68D13" w14:textId="77777777" w:rsidTr="00345119">
        <w:tc>
          <w:tcPr>
            <w:tcW w:w="9576" w:type="dxa"/>
          </w:tcPr>
          <w:p w14:paraId="52A87ED0" w14:textId="77777777" w:rsidR="008423E4" w:rsidRPr="00A8133F" w:rsidRDefault="00A55473" w:rsidP="006F1C4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15DD50" w14:textId="77777777" w:rsidR="008423E4" w:rsidRDefault="008423E4" w:rsidP="006F1C4C"/>
          <w:p w14:paraId="6BE6AB2B" w14:textId="0B4171CE" w:rsidR="00681213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43B2279D" w14:textId="77777777" w:rsidR="008423E4" w:rsidRPr="00E21FDC" w:rsidRDefault="008423E4" w:rsidP="006F1C4C">
            <w:pPr>
              <w:rPr>
                <w:b/>
              </w:rPr>
            </w:pPr>
          </w:p>
        </w:tc>
      </w:tr>
      <w:tr w:rsidR="00A04EC6" w14:paraId="12E821E3" w14:textId="77777777" w:rsidTr="00345119">
        <w:tc>
          <w:tcPr>
            <w:tcW w:w="9576" w:type="dxa"/>
          </w:tcPr>
          <w:p w14:paraId="247EDFFB" w14:textId="77777777" w:rsidR="008423E4" w:rsidRPr="00A8133F" w:rsidRDefault="00A55473" w:rsidP="006F1C4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635E00" w14:textId="77777777" w:rsidR="008423E4" w:rsidRDefault="008423E4" w:rsidP="006F1C4C"/>
          <w:p w14:paraId="221C8897" w14:textId="50EFB6E0" w:rsidR="009640D7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1372 amends the Civil Practice and Remedies Code to establish </w:t>
            </w:r>
            <w:r w:rsidR="00967561">
              <w:t>tha</w:t>
            </w:r>
            <w:r w:rsidR="00967561" w:rsidRPr="003E5142">
              <w:t>t</w:t>
            </w:r>
            <w:r w:rsidRPr="003E5142">
              <w:t xml:space="preserve"> </w:t>
            </w:r>
            <w:r w:rsidRPr="00AC2C51">
              <w:t>a public nuisance claim</w:t>
            </w:r>
            <w:r w:rsidR="00327AD7" w:rsidRPr="00AC2C51">
              <w:t>, defined by the bill as an assertion in a civil action of an injury caused to the public</w:t>
            </w:r>
            <w:r w:rsidR="00327AD7" w:rsidRPr="003E5142">
              <w:t xml:space="preserve"> </w:t>
            </w:r>
            <w:r w:rsidR="00327AD7">
              <w:t xml:space="preserve">or a request in a civil action to recover damages, abatement, or other relief under the common law tort of public nuisance, </w:t>
            </w:r>
            <w:r w:rsidRPr="00F62C0B">
              <w:t xml:space="preserve">is not cognizable in </w:t>
            </w:r>
            <w:r>
              <w:t xml:space="preserve">Texas </w:t>
            </w:r>
            <w:r w:rsidRPr="00F62C0B">
              <w:t>if it seeks relief arising from</w:t>
            </w:r>
            <w:r>
              <w:t xml:space="preserve"> any of the following:</w:t>
            </w:r>
            <w:r w:rsidR="00967561">
              <w:t xml:space="preserve"> </w:t>
            </w:r>
          </w:p>
          <w:p w14:paraId="70275D87" w14:textId="70B74DA1" w:rsidR="001E2AA2" w:rsidRDefault="00A55473" w:rsidP="006F1C4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 action or condition authorized, </w:t>
            </w:r>
            <w:r w:rsidR="00FC096C">
              <w:t xml:space="preserve">licensed, </w:t>
            </w:r>
            <w:r>
              <w:t>approved, or mandated by a statute, ordinance, regulation, permit, order, ru</w:t>
            </w:r>
            <w:r>
              <w:t xml:space="preserve">le, or other similar measure issued, adopted, promulgated, or approved by the federal government, a federal agency, </w:t>
            </w:r>
            <w:r w:rsidR="001A79C2">
              <w:t xml:space="preserve">the </w:t>
            </w:r>
            <w:r w:rsidR="00B004BB">
              <w:t>S</w:t>
            </w:r>
            <w:r>
              <w:t>tate</w:t>
            </w:r>
            <w:r w:rsidR="00B004BB">
              <w:t xml:space="preserve"> of Texas</w:t>
            </w:r>
            <w:r>
              <w:t xml:space="preserve">, </w:t>
            </w:r>
            <w:r w:rsidR="00B004BB">
              <w:t xml:space="preserve">or </w:t>
            </w:r>
            <w:r>
              <w:t>a</w:t>
            </w:r>
            <w:r w:rsidR="00B004BB">
              <w:t>n</w:t>
            </w:r>
            <w:r>
              <w:t xml:space="preserve"> agency or a political subdivision</w:t>
            </w:r>
            <w:r w:rsidR="00FC096C">
              <w:t xml:space="preserve"> of the </w:t>
            </w:r>
            <w:r w:rsidR="00B004BB">
              <w:t>S</w:t>
            </w:r>
            <w:r w:rsidR="00FC096C">
              <w:t>tate</w:t>
            </w:r>
            <w:r w:rsidR="00B004BB">
              <w:t xml:space="preserve"> of Texas</w:t>
            </w:r>
            <w:r>
              <w:t>;</w:t>
            </w:r>
          </w:p>
          <w:p w14:paraId="32BC1FD8" w14:textId="1C52B190" w:rsidR="009640D7" w:rsidRDefault="00A55473" w:rsidP="006F1C4C">
            <w:pPr>
              <w:pStyle w:val="Header"/>
              <w:numPr>
                <w:ilvl w:val="0"/>
                <w:numId w:val="1"/>
              </w:numPr>
              <w:jc w:val="both"/>
            </w:pPr>
            <w:r w:rsidRPr="001E2AA2">
              <w:t xml:space="preserve">an action or condition that occurs or exists in a context where a statutory cause of action or administrative enforcement mechanism already exists to address conduct that is injurious to the public; </w:t>
            </w:r>
            <w:r w:rsidR="00DB491D">
              <w:t>or</w:t>
            </w:r>
          </w:p>
          <w:p w14:paraId="7B024562" w14:textId="070B591A" w:rsidR="009640D7" w:rsidRDefault="00A55473" w:rsidP="006F1C4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product or the manufacturing, distributing, selling,</w:t>
            </w:r>
            <w:r>
              <w:t xml:space="preserve"> labeling, or marketing of a product, regardless of whether the product is defective.</w:t>
            </w:r>
          </w:p>
          <w:p w14:paraId="388C2EA2" w14:textId="77777777" w:rsidR="00681213" w:rsidRDefault="0068121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E218E7" w14:textId="432A0D67" w:rsidR="001941F1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B7D86">
              <w:t xml:space="preserve">H.B. 1372 </w:t>
            </w:r>
            <w:r w:rsidR="00681213">
              <w:t>establishes that t</w:t>
            </w:r>
            <w:r w:rsidR="008B7D86" w:rsidRPr="008B7D86">
              <w:t xml:space="preserve">he aggregation of multiple injuries </w:t>
            </w:r>
            <w:r w:rsidR="00B004BB">
              <w:t xml:space="preserve">to individuals </w:t>
            </w:r>
            <w:r w:rsidR="008B7D86" w:rsidRPr="008B7D86">
              <w:t xml:space="preserve">or private nuisances does not constitute </w:t>
            </w:r>
            <w:r w:rsidRPr="00FC35BC">
              <w:t>a public nuisance or give rise to a public nu</w:t>
            </w:r>
            <w:r w:rsidRPr="00FC35BC">
              <w:t>isance claim</w:t>
            </w:r>
            <w:r w:rsidR="008B7D86" w:rsidRPr="008B7D86">
              <w:t>.</w:t>
            </w:r>
            <w:r w:rsidR="008B7D86">
              <w:t xml:space="preserve"> </w:t>
            </w:r>
            <w:r>
              <w:t>The bill prohibits its provisions from being</w:t>
            </w:r>
            <w:r w:rsidRPr="00FC35BC">
              <w:t xml:space="preserve"> construed to limit a claimant from obtaining relief provided by other law</w:t>
            </w:r>
            <w:r>
              <w:t xml:space="preserve">. </w:t>
            </w:r>
          </w:p>
          <w:p w14:paraId="678F88C4" w14:textId="4C13E7B0" w:rsidR="001941F1" w:rsidRDefault="001941F1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15EC7F" w14:textId="588DC129" w:rsidR="00752200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5609D9">
              <w:t xml:space="preserve">1372 </w:t>
            </w:r>
            <w:r w:rsidR="001E1E10">
              <w:t>establishes that to</w:t>
            </w:r>
            <w:r w:rsidRPr="00247A34">
              <w:t xml:space="preserve"> the extent of a conflict between </w:t>
            </w:r>
            <w:r>
              <w:t xml:space="preserve">the bill </w:t>
            </w:r>
            <w:r w:rsidRPr="00247A34">
              <w:t xml:space="preserve">and common law, </w:t>
            </w:r>
            <w:r w:rsidR="001E1E10">
              <w:t xml:space="preserve">the </w:t>
            </w:r>
            <w:r w:rsidR="00DB491D">
              <w:t xml:space="preserve">bill's </w:t>
            </w:r>
            <w:r>
              <w:t>provisions</w:t>
            </w:r>
            <w:r w:rsidR="001E1E10">
              <w:t xml:space="preserve"> </w:t>
            </w:r>
            <w:r w:rsidRPr="00247A34">
              <w:t>contro</w:t>
            </w:r>
            <w:r w:rsidRPr="00247A34">
              <w:t>l. Otherwise, th</w:t>
            </w:r>
            <w:r>
              <w:t xml:space="preserve">e </w:t>
            </w:r>
            <w:r w:rsidR="00DB491D">
              <w:t xml:space="preserve">bill's </w:t>
            </w:r>
            <w:r>
              <w:t xml:space="preserve">provisions </w:t>
            </w:r>
            <w:r w:rsidRPr="00247A34">
              <w:t>supplement the common law of public nuisance, both as to the claim and defenses.</w:t>
            </w:r>
            <w:r>
              <w:t xml:space="preserve"> The bill provides for the severability of the </w:t>
            </w:r>
            <w:r w:rsidR="00DB491D">
              <w:t xml:space="preserve">bill's </w:t>
            </w:r>
            <w:r>
              <w:t>provisions.</w:t>
            </w:r>
          </w:p>
          <w:p w14:paraId="6CFDBA82" w14:textId="77777777" w:rsidR="001E1E10" w:rsidRDefault="001E1E10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D63C10" w14:textId="1528D2D5" w:rsidR="00681213" w:rsidRPr="008B7D86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941F1">
              <w:t xml:space="preserve">H.B. 1372 </w:t>
            </w:r>
            <w:r>
              <w:t>appl</w:t>
            </w:r>
            <w:r w:rsidR="001941F1">
              <w:t>ies</w:t>
            </w:r>
            <w:r>
              <w:t xml:space="preserve"> </w:t>
            </w:r>
            <w:r w:rsidRPr="00681213">
              <w:t xml:space="preserve">only to a cause of action that accrues on or after </w:t>
            </w:r>
            <w:r w:rsidRPr="00681213">
              <w:t xml:space="preserve">the </w:t>
            </w:r>
            <w:r>
              <w:t xml:space="preserve">bill's </w:t>
            </w:r>
            <w:r w:rsidRPr="00681213">
              <w:t>effective date</w:t>
            </w:r>
            <w:r>
              <w:t>.</w:t>
            </w:r>
          </w:p>
          <w:p w14:paraId="64A1167A" w14:textId="77777777" w:rsidR="008423E4" w:rsidRPr="00835628" w:rsidRDefault="008423E4" w:rsidP="006F1C4C">
            <w:pPr>
              <w:rPr>
                <w:b/>
              </w:rPr>
            </w:pPr>
          </w:p>
        </w:tc>
      </w:tr>
      <w:tr w:rsidR="00A04EC6" w14:paraId="1BEDD9D0" w14:textId="77777777" w:rsidTr="00345119">
        <w:tc>
          <w:tcPr>
            <w:tcW w:w="9576" w:type="dxa"/>
          </w:tcPr>
          <w:p w14:paraId="6E68B397" w14:textId="77777777" w:rsidR="008423E4" w:rsidRPr="00A8133F" w:rsidRDefault="00A55473" w:rsidP="006F1C4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1BE958D" w14:textId="77777777" w:rsidR="008423E4" w:rsidRDefault="008423E4" w:rsidP="006F1C4C"/>
          <w:p w14:paraId="403182CA" w14:textId="77777777" w:rsidR="008423E4" w:rsidRDefault="00A55473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EDA68A7" w14:textId="5C36DFB8" w:rsidR="003841AD" w:rsidRPr="00C36B93" w:rsidRDefault="003841AD" w:rsidP="006F1C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04EC6" w14:paraId="3FA9EBDC" w14:textId="77777777" w:rsidTr="00345119">
        <w:tc>
          <w:tcPr>
            <w:tcW w:w="9576" w:type="dxa"/>
          </w:tcPr>
          <w:p w14:paraId="4F601B46" w14:textId="77777777" w:rsidR="001B02AB" w:rsidRDefault="00A55473" w:rsidP="006F1C4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02CF8E7" w14:textId="77777777" w:rsidR="00806236" w:rsidRDefault="00806236" w:rsidP="006F1C4C">
            <w:pPr>
              <w:jc w:val="both"/>
              <w:rPr>
                <w:b/>
                <w:u w:val="single"/>
              </w:rPr>
            </w:pPr>
          </w:p>
          <w:p w14:paraId="38559215" w14:textId="77777777" w:rsidR="00FC096C" w:rsidRDefault="00A55473" w:rsidP="006F1C4C">
            <w:pPr>
              <w:jc w:val="both"/>
            </w:pPr>
            <w:r>
              <w:t xml:space="preserve">While C.S.H.B. 1372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45D1F324" w14:textId="77777777" w:rsidR="00FC096C" w:rsidRDefault="00FC096C" w:rsidP="006F1C4C">
            <w:pPr>
              <w:jc w:val="both"/>
            </w:pPr>
          </w:p>
          <w:p w14:paraId="226978CF" w14:textId="3F510242" w:rsidR="00FC096C" w:rsidRDefault="00A55473" w:rsidP="006F1C4C">
            <w:pPr>
              <w:jc w:val="both"/>
            </w:pPr>
            <w:r>
              <w:t xml:space="preserve">Both the introduced and the substitute provide parameters for what </w:t>
            </w:r>
            <w:r w:rsidR="003570B1">
              <w:t xml:space="preserve">does not </w:t>
            </w:r>
            <w:r>
              <w:t>constitute a public nuisance claim,</w:t>
            </w:r>
            <w:r>
              <w:t xml:space="preserve"> however the parameters established by each version differ. </w:t>
            </w:r>
          </w:p>
          <w:p w14:paraId="434C50AD" w14:textId="77777777" w:rsidR="00FC096C" w:rsidRDefault="00FC096C" w:rsidP="006F1C4C">
            <w:pPr>
              <w:jc w:val="both"/>
            </w:pPr>
          </w:p>
          <w:p w14:paraId="61BFCE85" w14:textId="43DF841B" w:rsidR="00FC096C" w:rsidRDefault="00A55473" w:rsidP="006F1C4C">
            <w:pPr>
              <w:jc w:val="both"/>
            </w:pPr>
            <w:r>
              <w:rPr>
                <w:rFonts w:ascii="TimesNewRomanPSMT" w:hAnsi="TimesNewRomanPSMT" w:cs="TimesNewRomanPSMT"/>
              </w:rPr>
              <w:t xml:space="preserve">Whereas the introduced defined </w:t>
            </w:r>
            <w:r w:rsidR="00991694">
              <w:rPr>
                <w:rFonts w:ascii="TimesNewRomanPSMT" w:hAnsi="TimesNewRomanPSMT" w:cs="TimesNewRomanPSMT"/>
              </w:rPr>
              <w:t>"</w:t>
            </w:r>
            <w:r>
              <w:rPr>
                <w:rFonts w:ascii="TimesNewRomanPSMT" w:hAnsi="TimesNewRomanPSMT" w:cs="TimesNewRomanPSMT"/>
              </w:rPr>
              <w:t>public nuisance action</w:t>
            </w:r>
            <w:r w:rsidR="00991694">
              <w:rPr>
                <w:rFonts w:ascii="TimesNewRomanPSMT" w:hAnsi="TimesNewRomanPSMT" w:cs="TimesNewRomanPSMT"/>
              </w:rPr>
              <w:t>"</w:t>
            </w:r>
            <w:r>
              <w:rPr>
                <w:rFonts w:ascii="TimesNewRomanPSMT" w:hAnsi="TimesNewRomanPSMT" w:cs="TimesNewRomanPSMT"/>
              </w:rPr>
              <w:t xml:space="preserve"> as an action asserting a cause of action cognizable as the tort of public nuisance, the substitute defines "public nuisance claim" as an a</w:t>
            </w:r>
            <w:r>
              <w:rPr>
                <w:rFonts w:ascii="TimesNewRomanPSMT" w:hAnsi="TimesNewRomanPSMT" w:cs="TimesNewRomanPSMT"/>
              </w:rPr>
              <w:t>ssertion in a civil action of an injury caused to the public under the common law tort of public nuisance or a request in a civil action to recover damages, abatement, or other relief under the common law tort of public nuisance</w:t>
            </w:r>
            <w:r w:rsidRPr="00172904">
              <w:t>.</w:t>
            </w:r>
          </w:p>
          <w:p w14:paraId="16629DB5" w14:textId="77777777" w:rsidR="00FC096C" w:rsidRDefault="00FC096C" w:rsidP="006F1C4C">
            <w:pPr>
              <w:jc w:val="both"/>
            </w:pPr>
          </w:p>
          <w:p w14:paraId="6048F6FA" w14:textId="77777777" w:rsidR="00FC096C" w:rsidRDefault="00A55473" w:rsidP="006F1C4C">
            <w:pPr>
              <w:jc w:val="both"/>
            </w:pPr>
            <w:r>
              <w:t>With respect to what disq</w:t>
            </w:r>
            <w:r>
              <w:t>ualifies a claim from being cognized as a public nuisance claim in Texas:</w:t>
            </w:r>
          </w:p>
          <w:p w14:paraId="6A37C6EF" w14:textId="77777777" w:rsidR="00FC096C" w:rsidRDefault="00A55473" w:rsidP="006F1C4C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the substitute omits the following specific types of claims, which were considered disqualified claims or actions in the introduced:</w:t>
            </w:r>
          </w:p>
          <w:p w14:paraId="5A5BB9FA" w14:textId="24523113" w:rsidR="008F5ECE" w:rsidRDefault="00A55473" w:rsidP="006F1C4C">
            <w:pPr>
              <w:pStyle w:val="ListParagraph"/>
              <w:numPr>
                <w:ilvl w:val="1"/>
                <w:numId w:val="11"/>
              </w:numPr>
              <w:contextualSpacing w:val="0"/>
              <w:jc w:val="both"/>
            </w:pPr>
            <w:r>
              <w:t>an action or condition authorized, approved, or m</w:t>
            </w:r>
            <w:r>
              <w:t>andated by a court order;</w:t>
            </w:r>
          </w:p>
          <w:p w14:paraId="78D7B129" w14:textId="0F1764B8" w:rsidR="00FC096C" w:rsidRPr="008A39D3" w:rsidRDefault="00A55473" w:rsidP="006F1C4C">
            <w:pPr>
              <w:pStyle w:val="ListParagraph"/>
              <w:numPr>
                <w:ilvl w:val="1"/>
                <w:numId w:val="11"/>
              </w:numPr>
              <w:contextualSpacing w:val="0"/>
              <w:jc w:val="both"/>
            </w:pPr>
            <w:r w:rsidRPr="006D252E">
              <w:t xml:space="preserve">a claim that a product endangers the health, safety, or welfare of the public at large or has </w:t>
            </w:r>
            <w:r w:rsidRPr="008A39D3">
              <w:t>caused injury to one or more members of the public</w:t>
            </w:r>
            <w:r w:rsidR="00B004BB">
              <w:t xml:space="preserve">, </w:t>
            </w:r>
            <w:r w:rsidR="00B004BB" w:rsidRPr="00B004BB">
              <w:t>which was replaced with language disqualifying any claims seeking relief arising from a product</w:t>
            </w:r>
            <w:r w:rsidRPr="008A39D3">
              <w:t>; and</w:t>
            </w:r>
          </w:p>
          <w:p w14:paraId="05B47925" w14:textId="77777777" w:rsidR="00FC096C" w:rsidRDefault="00A55473" w:rsidP="006F1C4C">
            <w:pPr>
              <w:pStyle w:val="ListParagraph"/>
              <w:numPr>
                <w:ilvl w:val="1"/>
                <w:numId w:val="11"/>
              </w:numPr>
              <w:contextualSpacing w:val="0"/>
              <w:jc w:val="both"/>
            </w:pPr>
            <w:r w:rsidRPr="00206ED6">
              <w:t>any other claim, action, or condition determined by common law to not constitute or give rise to a cause of action cognizable as the tort of public nuisance</w:t>
            </w:r>
            <w:r>
              <w:t>;</w:t>
            </w:r>
          </w:p>
          <w:p w14:paraId="77982EAB" w14:textId="4EB46CFD" w:rsidR="00FC096C" w:rsidRDefault="00A55473" w:rsidP="006F1C4C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the substitute includes as a disqualified claim or action,</w:t>
            </w:r>
            <w:r w:rsidR="007B1C87">
              <w:t xml:space="preserve"> which was not present in the introduced,</w:t>
            </w:r>
            <w:r>
              <w:t xml:space="preserve"> </w:t>
            </w:r>
            <w:r w:rsidRPr="00DC7E8E">
              <w:t>an action or condition that occurs or exists in a context where a statutory cause of action or administrative enforcement mechanism already exists to address conduct that is injurious to the public</w:t>
            </w:r>
            <w:r w:rsidR="007B1C87">
              <w:t>;</w:t>
            </w:r>
            <w:r w:rsidR="006F1C4C">
              <w:t xml:space="preserve"> and</w:t>
            </w:r>
          </w:p>
          <w:p w14:paraId="5B5A4DBD" w14:textId="4F6F1BB1" w:rsidR="007B1C87" w:rsidRDefault="00A55473" w:rsidP="006F1C4C">
            <w:pPr>
              <w:pStyle w:val="ListParagraph"/>
              <w:numPr>
                <w:ilvl w:val="0"/>
                <w:numId w:val="11"/>
              </w:numPr>
              <w:contextualSpacing w:val="0"/>
              <w:jc w:val="both"/>
            </w:pPr>
            <w:r>
              <w:t>whereas the introduced included as</w:t>
            </w:r>
            <w:r>
              <w:t xml:space="preserve"> a disqualified claim or action an action or condition </w:t>
            </w:r>
            <w:r w:rsidRPr="00A36962">
              <w:t>authorized, approved, or mandated by a statute, ordinance, regulation, permit, order, rule, or other similar measure issued, adopted, promulgated, or approved by the federal government, a federal agenc</w:t>
            </w:r>
            <w:r w:rsidRPr="00A36962">
              <w:t>y, a state, a state agency, or a political subdivision</w:t>
            </w:r>
            <w:r>
              <w:t>, the substitute includes as</w:t>
            </w:r>
            <w:r w:rsidR="00EA3AF2">
              <w:t xml:space="preserve"> a</w:t>
            </w:r>
            <w:r>
              <w:t xml:space="preserve"> disqualified claim or action </w:t>
            </w:r>
            <w:r w:rsidRPr="00A36962">
              <w:t xml:space="preserve">an action or condition authorized, licensed, approved, or mandated by a statute, ordinance, regulation, permit, order, rule, or other similar </w:t>
            </w:r>
            <w:r w:rsidRPr="00A36962">
              <w:t xml:space="preserve">measure issued, adopted, promulgated, or approved by the federal government, a federal agency, </w:t>
            </w:r>
            <w:r>
              <w:t>the</w:t>
            </w:r>
            <w:r w:rsidRPr="00A36962">
              <w:t xml:space="preserve"> state, or an agency or political subdivision of </w:t>
            </w:r>
            <w:r>
              <w:t>the</w:t>
            </w:r>
            <w:r w:rsidRPr="00A36962">
              <w:t xml:space="preserve"> state</w:t>
            </w:r>
            <w:r>
              <w:t>.</w:t>
            </w:r>
          </w:p>
          <w:p w14:paraId="24435919" w14:textId="77777777" w:rsidR="00FC096C" w:rsidRDefault="00FC096C" w:rsidP="006F1C4C"/>
          <w:p w14:paraId="5579C442" w14:textId="5FCF1A02" w:rsidR="007205CC" w:rsidRDefault="00A55473" w:rsidP="006F1C4C">
            <w:pPr>
              <w:jc w:val="both"/>
            </w:pPr>
            <w:r>
              <w:t xml:space="preserve">Whereas the introduced </w:t>
            </w:r>
            <w:r w:rsidR="00CB6288">
              <w:t>provided</w:t>
            </w:r>
            <w:r>
              <w:t xml:space="preserve"> that t</w:t>
            </w:r>
            <w:r w:rsidRPr="007205CC">
              <w:t>he aggregation of multiple individual injuries or private n</w:t>
            </w:r>
            <w:r w:rsidRPr="007205CC">
              <w:t>uisances does not constitute violation of an established public right for purposes of a public nuisance action</w:t>
            </w:r>
            <w:r w:rsidR="00CB6288">
              <w:t>, the substitute provides that t</w:t>
            </w:r>
            <w:r w:rsidR="00CB6288" w:rsidRPr="00CB6288">
              <w:t>he aggregation of multiple injuries to individuals or of private nuisances does not constitute a public nuisance or give rise to a public nuisance claim.</w:t>
            </w:r>
          </w:p>
          <w:p w14:paraId="5EA0270E" w14:textId="77777777" w:rsidR="007205CC" w:rsidRDefault="007205CC" w:rsidP="006F1C4C"/>
          <w:p w14:paraId="46BDDB0A" w14:textId="780E7B61" w:rsidR="00FC096C" w:rsidRDefault="00A55473" w:rsidP="006F1C4C">
            <w:r>
              <w:t xml:space="preserve">The substitute also includes provisions absent from the introduced that do the following: </w:t>
            </w:r>
          </w:p>
          <w:p w14:paraId="7C88E8FE" w14:textId="77777777" w:rsidR="00FC096C" w:rsidRDefault="00A55473" w:rsidP="006F1C4C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prohibit the bill's provisions from being construed to limit a claimant from obtaining relief provided by other law; and</w:t>
            </w:r>
          </w:p>
          <w:p w14:paraId="2B5F5ABA" w14:textId="77777777" w:rsidR="00FC096C" w:rsidRDefault="00A55473" w:rsidP="006F1C4C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establish that, to the extent of a conflict between the bill and common law, the bill's provisions control, otherwise, the bill's provi</w:t>
            </w:r>
            <w:r>
              <w:t>sions supplement the common law of public nuisance, both as to the claim and defenses.</w:t>
            </w:r>
          </w:p>
          <w:p w14:paraId="04284E31" w14:textId="77777777" w:rsidR="00FC096C" w:rsidRDefault="00FC096C" w:rsidP="006F1C4C">
            <w:pPr>
              <w:jc w:val="both"/>
            </w:pPr>
          </w:p>
          <w:p w14:paraId="194C5F42" w14:textId="77777777" w:rsidR="00FC096C" w:rsidRDefault="00A55473" w:rsidP="006F1C4C">
            <w:pPr>
              <w:jc w:val="both"/>
            </w:pPr>
            <w:r>
              <w:t xml:space="preserve">The substitute omits provisions in the introduced that did the following: </w:t>
            </w:r>
          </w:p>
          <w:p w14:paraId="21EF15F5" w14:textId="767828E7" w:rsidR="00FC096C" w:rsidRDefault="00A55473" w:rsidP="006F1C4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806236">
              <w:t>limit</w:t>
            </w:r>
            <w:r>
              <w:t>ed</w:t>
            </w:r>
            <w:r w:rsidRPr="00806236">
              <w:t xml:space="preserve"> the remedies available to the governmental entity in a public nuisance action brought</w:t>
            </w:r>
            <w:r w:rsidRPr="00806236">
              <w:t xml:space="preserve"> by the state, a state agency, or a political subdivision </w:t>
            </w:r>
            <w:r w:rsidR="007205CC">
              <w:t xml:space="preserve">of the state </w:t>
            </w:r>
            <w:r w:rsidRPr="00806236">
              <w:t>to an injunction and any other relief that is available at law to abate the nuisance</w:t>
            </w:r>
            <w:r>
              <w:t>;</w:t>
            </w:r>
          </w:p>
          <w:p w14:paraId="6C2A2D92" w14:textId="6131282B" w:rsidR="00FC096C" w:rsidRDefault="00A55473" w:rsidP="006F1C4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806236">
              <w:t>prohibit</w:t>
            </w:r>
            <w:r>
              <w:t xml:space="preserve">ed </w:t>
            </w:r>
            <w:r w:rsidRPr="00806236">
              <w:t xml:space="preserve">a governmental entity from recovering </w:t>
            </w:r>
            <w:r w:rsidR="007205CC">
              <w:t xml:space="preserve">applicable </w:t>
            </w:r>
            <w:r w:rsidRPr="00806236">
              <w:t>economic, noneconomic, or exemplary dam</w:t>
            </w:r>
            <w:r w:rsidRPr="00806236">
              <w:t>ages</w:t>
            </w:r>
            <w:r>
              <w:t>;</w:t>
            </w:r>
          </w:p>
          <w:p w14:paraId="29232484" w14:textId="77777777" w:rsidR="00FC096C" w:rsidRDefault="00A55473" w:rsidP="006F1C4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806236">
              <w:t>prohibit</w:t>
            </w:r>
            <w:r>
              <w:t>ed</w:t>
            </w:r>
            <w:r w:rsidRPr="00806236">
              <w:t xml:space="preserve"> </w:t>
            </w:r>
            <w:r>
              <w:t>certain</w:t>
            </w:r>
            <w:r w:rsidRPr="00806236">
              <w:t xml:space="preserve"> provisions from being construed to limit a governmental entity from obtaining relief provided by other law</w:t>
            </w:r>
            <w:r>
              <w:t>;</w:t>
            </w:r>
            <w:r w:rsidRPr="00806236">
              <w:t xml:space="preserve"> </w:t>
            </w:r>
          </w:p>
          <w:p w14:paraId="443C93C6" w14:textId="06498DD5" w:rsidR="00FC096C" w:rsidRDefault="00A55473" w:rsidP="006F1C4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806236">
              <w:t>establish</w:t>
            </w:r>
            <w:r>
              <w:t>ed</w:t>
            </w:r>
            <w:r w:rsidRPr="00806236">
              <w:t xml:space="preserve"> that a financial expenditure made by the state or a political subdivision</w:t>
            </w:r>
            <w:r w:rsidR="007205CC">
              <w:t xml:space="preserve"> of the state</w:t>
            </w:r>
            <w:r w:rsidRPr="00806236">
              <w:t xml:space="preserve"> related to the remediat</w:t>
            </w:r>
            <w:r w:rsidRPr="00806236">
              <w:t>ion, abatement, or injunction of an unlawful condition does not constitute an injury sufficient to confer standing to file or maintain a public nuisance action</w:t>
            </w:r>
            <w:r>
              <w:t>;</w:t>
            </w:r>
          </w:p>
          <w:p w14:paraId="296EAD08" w14:textId="77777777" w:rsidR="007205CC" w:rsidRDefault="00A55473" w:rsidP="006F1C4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806236">
              <w:t>authorize</w:t>
            </w:r>
            <w:r>
              <w:t>d</w:t>
            </w:r>
            <w:r w:rsidRPr="00806236">
              <w:t xml:space="preserve"> an individual to bring a public nuisance action only for compensatory damages and on</w:t>
            </w:r>
            <w:r w:rsidRPr="00806236">
              <w:t>ly for an injury caused to the individual by the nuisance that is different in kind, not just in degree, from an injury suffered by the public at large</w:t>
            </w:r>
            <w:r>
              <w:t>; and</w:t>
            </w:r>
          </w:p>
          <w:p w14:paraId="4D8342E3" w14:textId="5B1400C7" w:rsidR="00FC096C" w:rsidRPr="007205CC" w:rsidRDefault="00A55473" w:rsidP="006F1C4C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806236">
              <w:t>establish</w:t>
            </w:r>
            <w:r>
              <w:t>ed</w:t>
            </w:r>
            <w:r w:rsidRPr="00806236">
              <w:t xml:space="preserve"> that interference with the use of or damage to public land, air, or water with only per</w:t>
            </w:r>
            <w:r w:rsidRPr="00806236">
              <w:t>sonal, spiritual, cultural, or emotional significance to the individual does not constitute or give rise to a cause of action cognizable as the tort of public nuisance</w:t>
            </w:r>
            <w:r>
              <w:t>.</w:t>
            </w:r>
          </w:p>
        </w:tc>
      </w:tr>
      <w:tr w:rsidR="00A04EC6" w14:paraId="12932A33" w14:textId="77777777" w:rsidTr="00345119">
        <w:tc>
          <w:tcPr>
            <w:tcW w:w="9576" w:type="dxa"/>
          </w:tcPr>
          <w:p w14:paraId="0CDCED95" w14:textId="77777777" w:rsidR="00AA2EB6" w:rsidRPr="009C1E9A" w:rsidRDefault="00AA2EB6" w:rsidP="006F1C4C">
            <w:pPr>
              <w:rPr>
                <w:b/>
                <w:u w:val="single"/>
              </w:rPr>
            </w:pPr>
          </w:p>
        </w:tc>
      </w:tr>
      <w:tr w:rsidR="00A04EC6" w14:paraId="6E6F1094" w14:textId="77777777" w:rsidTr="00345119">
        <w:tc>
          <w:tcPr>
            <w:tcW w:w="9576" w:type="dxa"/>
          </w:tcPr>
          <w:p w14:paraId="08458795" w14:textId="77777777" w:rsidR="00AA2EB6" w:rsidRPr="001B02AB" w:rsidRDefault="00AA2EB6" w:rsidP="006F1C4C">
            <w:pPr>
              <w:jc w:val="both"/>
            </w:pPr>
          </w:p>
        </w:tc>
      </w:tr>
      <w:tr w:rsidR="00A04EC6" w14:paraId="2F22D2D7" w14:textId="77777777" w:rsidTr="00345119">
        <w:tc>
          <w:tcPr>
            <w:tcW w:w="9576" w:type="dxa"/>
          </w:tcPr>
          <w:p w14:paraId="644B12F3" w14:textId="77777777" w:rsidR="001B02AB" w:rsidRPr="00AA2EB6" w:rsidRDefault="001B02AB" w:rsidP="006F1C4C">
            <w:pPr>
              <w:jc w:val="both"/>
            </w:pPr>
          </w:p>
        </w:tc>
      </w:tr>
      <w:tr w:rsidR="00A04EC6" w14:paraId="0D646EF7" w14:textId="77777777" w:rsidTr="00345119">
        <w:tc>
          <w:tcPr>
            <w:tcW w:w="9576" w:type="dxa"/>
          </w:tcPr>
          <w:p w14:paraId="0C0A978B" w14:textId="77777777" w:rsidR="001B02AB" w:rsidRPr="00AA2EB6" w:rsidRDefault="001B02AB" w:rsidP="006F1C4C">
            <w:pPr>
              <w:jc w:val="both"/>
            </w:pPr>
          </w:p>
        </w:tc>
      </w:tr>
      <w:tr w:rsidR="00A04EC6" w14:paraId="4B41E606" w14:textId="77777777" w:rsidTr="00345119">
        <w:tc>
          <w:tcPr>
            <w:tcW w:w="9576" w:type="dxa"/>
          </w:tcPr>
          <w:p w14:paraId="5562D2E8" w14:textId="77777777" w:rsidR="001B02AB" w:rsidRPr="00AA2EB6" w:rsidRDefault="001B02AB" w:rsidP="006F1C4C">
            <w:pPr>
              <w:jc w:val="both"/>
            </w:pPr>
          </w:p>
        </w:tc>
      </w:tr>
    </w:tbl>
    <w:p w14:paraId="6CD2E0DE" w14:textId="77777777" w:rsidR="004108C3" w:rsidRPr="00C36B93" w:rsidRDefault="004108C3" w:rsidP="006F1C4C">
      <w:pPr>
        <w:rPr>
          <w:sz w:val="2"/>
          <w:szCs w:val="2"/>
        </w:rPr>
      </w:pPr>
    </w:p>
    <w:sectPr w:rsidR="004108C3" w:rsidRPr="00C36B93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9AC" w14:textId="77777777" w:rsidR="00000000" w:rsidRDefault="00A55473">
      <w:r>
        <w:separator/>
      </w:r>
    </w:p>
  </w:endnote>
  <w:endnote w:type="continuationSeparator" w:id="0">
    <w:p w14:paraId="02E1A3F3" w14:textId="77777777" w:rsidR="00000000" w:rsidRDefault="00A5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5E8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4EC6" w14:paraId="3FF2502E" w14:textId="77777777" w:rsidTr="009C1E9A">
      <w:trPr>
        <w:cantSplit/>
      </w:trPr>
      <w:tc>
        <w:tcPr>
          <w:tcW w:w="0" w:type="pct"/>
        </w:tcPr>
        <w:p w14:paraId="7A65B0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2B64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B8B3F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DDDD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8978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4EC6" w14:paraId="22503BC4" w14:textId="77777777" w:rsidTr="009C1E9A">
      <w:trPr>
        <w:cantSplit/>
      </w:trPr>
      <w:tc>
        <w:tcPr>
          <w:tcW w:w="0" w:type="pct"/>
        </w:tcPr>
        <w:p w14:paraId="4DFAD4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AD3F11" w14:textId="2AA8DCCC" w:rsidR="00EC379B" w:rsidRPr="009C1E9A" w:rsidRDefault="00A554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22859-F</w:t>
          </w:r>
        </w:p>
      </w:tc>
      <w:tc>
        <w:tcPr>
          <w:tcW w:w="2453" w:type="pct"/>
        </w:tcPr>
        <w:p w14:paraId="53594245" w14:textId="3E47D1D3" w:rsidR="00EC379B" w:rsidRDefault="00A554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373DB">
            <w:t>23.102.1179</w:t>
          </w:r>
          <w:r>
            <w:fldChar w:fldCharType="end"/>
          </w:r>
        </w:p>
      </w:tc>
    </w:tr>
    <w:tr w:rsidR="00A04EC6" w14:paraId="11368F64" w14:textId="77777777" w:rsidTr="009C1E9A">
      <w:trPr>
        <w:cantSplit/>
      </w:trPr>
      <w:tc>
        <w:tcPr>
          <w:tcW w:w="0" w:type="pct"/>
        </w:tcPr>
        <w:p w14:paraId="7B119AD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6E966D" w14:textId="519FB8CA" w:rsidR="00EC379B" w:rsidRPr="009C1E9A" w:rsidRDefault="00A5547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19694</w:t>
          </w:r>
        </w:p>
      </w:tc>
      <w:tc>
        <w:tcPr>
          <w:tcW w:w="2453" w:type="pct"/>
        </w:tcPr>
        <w:p w14:paraId="468DCFE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6DB7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4EC6" w14:paraId="2A64D60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27A5F3" w14:textId="77777777" w:rsidR="00EC379B" w:rsidRDefault="00A554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1645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73822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E2F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9B04" w14:textId="77777777" w:rsidR="00000000" w:rsidRDefault="00A55473">
      <w:r>
        <w:separator/>
      </w:r>
    </w:p>
  </w:footnote>
  <w:footnote w:type="continuationSeparator" w:id="0">
    <w:p w14:paraId="25F616E2" w14:textId="77777777" w:rsidR="00000000" w:rsidRDefault="00A5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FCF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509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EFD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C8A"/>
    <w:multiLevelType w:val="hybridMultilevel"/>
    <w:tmpl w:val="94BC708E"/>
    <w:lvl w:ilvl="0" w:tplc="375C38C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A950E5D8" w:tentative="1">
      <w:start w:val="1"/>
      <w:numFmt w:val="lowerLetter"/>
      <w:lvlText w:val="%2."/>
      <w:lvlJc w:val="left"/>
      <w:pPr>
        <w:ind w:left="1440" w:hanging="360"/>
      </w:pPr>
    </w:lvl>
    <w:lvl w:ilvl="2" w:tplc="21D42574" w:tentative="1">
      <w:start w:val="1"/>
      <w:numFmt w:val="lowerRoman"/>
      <w:lvlText w:val="%3."/>
      <w:lvlJc w:val="right"/>
      <w:pPr>
        <w:ind w:left="2160" w:hanging="180"/>
      </w:pPr>
    </w:lvl>
    <w:lvl w:ilvl="3" w:tplc="5AE8FED6" w:tentative="1">
      <w:start w:val="1"/>
      <w:numFmt w:val="decimal"/>
      <w:lvlText w:val="%4."/>
      <w:lvlJc w:val="left"/>
      <w:pPr>
        <w:ind w:left="2880" w:hanging="360"/>
      </w:pPr>
    </w:lvl>
    <w:lvl w:ilvl="4" w:tplc="183C0660" w:tentative="1">
      <w:start w:val="1"/>
      <w:numFmt w:val="lowerLetter"/>
      <w:lvlText w:val="%5."/>
      <w:lvlJc w:val="left"/>
      <w:pPr>
        <w:ind w:left="3600" w:hanging="360"/>
      </w:pPr>
    </w:lvl>
    <w:lvl w:ilvl="5" w:tplc="E2BA8352" w:tentative="1">
      <w:start w:val="1"/>
      <w:numFmt w:val="lowerRoman"/>
      <w:lvlText w:val="%6."/>
      <w:lvlJc w:val="right"/>
      <w:pPr>
        <w:ind w:left="4320" w:hanging="180"/>
      </w:pPr>
    </w:lvl>
    <w:lvl w:ilvl="6" w:tplc="6CDEF31A" w:tentative="1">
      <w:start w:val="1"/>
      <w:numFmt w:val="decimal"/>
      <w:lvlText w:val="%7."/>
      <w:lvlJc w:val="left"/>
      <w:pPr>
        <w:ind w:left="5040" w:hanging="360"/>
      </w:pPr>
    </w:lvl>
    <w:lvl w:ilvl="7" w:tplc="BCD01890" w:tentative="1">
      <w:start w:val="1"/>
      <w:numFmt w:val="lowerLetter"/>
      <w:lvlText w:val="%8."/>
      <w:lvlJc w:val="left"/>
      <w:pPr>
        <w:ind w:left="5760" w:hanging="360"/>
      </w:pPr>
    </w:lvl>
    <w:lvl w:ilvl="8" w:tplc="9A14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0C92"/>
    <w:multiLevelType w:val="hybridMultilevel"/>
    <w:tmpl w:val="E098E762"/>
    <w:lvl w:ilvl="0" w:tplc="D44E5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60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EC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A7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C7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E7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D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2D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88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075"/>
    <w:multiLevelType w:val="hybridMultilevel"/>
    <w:tmpl w:val="E1CC0D8A"/>
    <w:lvl w:ilvl="0" w:tplc="07A0F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81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8D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8F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07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6E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06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2B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26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09B1"/>
    <w:multiLevelType w:val="hybridMultilevel"/>
    <w:tmpl w:val="D6FAF426"/>
    <w:lvl w:ilvl="0" w:tplc="07E43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67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81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C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ED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2B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3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E0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0F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7E2E"/>
    <w:multiLevelType w:val="hybridMultilevel"/>
    <w:tmpl w:val="0F2C4C72"/>
    <w:lvl w:ilvl="0" w:tplc="BC802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23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E0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A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25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4D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A9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AF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0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4CDB"/>
    <w:multiLevelType w:val="hybridMultilevel"/>
    <w:tmpl w:val="786EB410"/>
    <w:lvl w:ilvl="0" w:tplc="8870D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4C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3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A5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E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00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E8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EF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C4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5AB5"/>
    <w:multiLevelType w:val="hybridMultilevel"/>
    <w:tmpl w:val="40C0982A"/>
    <w:lvl w:ilvl="0" w:tplc="6CD83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C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0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8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27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A1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02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86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A6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5083D"/>
    <w:multiLevelType w:val="hybridMultilevel"/>
    <w:tmpl w:val="91304A74"/>
    <w:lvl w:ilvl="0" w:tplc="7F16E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47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A1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9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80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CF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E6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7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87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4689"/>
    <w:multiLevelType w:val="hybridMultilevel"/>
    <w:tmpl w:val="50E61C60"/>
    <w:lvl w:ilvl="0" w:tplc="3668B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0F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24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66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86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6F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7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D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CC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007C4"/>
    <w:multiLevelType w:val="hybridMultilevel"/>
    <w:tmpl w:val="10BEA9B0"/>
    <w:lvl w:ilvl="0" w:tplc="9D9E2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81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A3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01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E2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EF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24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CC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0F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D6FF0"/>
    <w:multiLevelType w:val="hybridMultilevel"/>
    <w:tmpl w:val="54D4E4DC"/>
    <w:lvl w:ilvl="0" w:tplc="1358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6C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6C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67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85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85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E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F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E5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9EC"/>
    <w:rsid w:val="00020C1E"/>
    <w:rsid w:val="00020E9B"/>
    <w:rsid w:val="000236C1"/>
    <w:rsid w:val="000236EC"/>
    <w:rsid w:val="0002413D"/>
    <w:rsid w:val="000249F2"/>
    <w:rsid w:val="000275E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A29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17B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904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87EAE"/>
    <w:rsid w:val="001908AC"/>
    <w:rsid w:val="00190CFB"/>
    <w:rsid w:val="00191A1A"/>
    <w:rsid w:val="001941F1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9C2"/>
    <w:rsid w:val="001B02AB"/>
    <w:rsid w:val="001B053A"/>
    <w:rsid w:val="001B26D8"/>
    <w:rsid w:val="001B3BFA"/>
    <w:rsid w:val="001B75B8"/>
    <w:rsid w:val="001C1230"/>
    <w:rsid w:val="001C3D1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E10"/>
    <w:rsid w:val="001E2AA2"/>
    <w:rsid w:val="001E2CAD"/>
    <w:rsid w:val="001E34DB"/>
    <w:rsid w:val="001E37CD"/>
    <w:rsid w:val="001E4070"/>
    <w:rsid w:val="001E655E"/>
    <w:rsid w:val="001F3CB8"/>
    <w:rsid w:val="001F3FB6"/>
    <w:rsid w:val="001F6B91"/>
    <w:rsid w:val="001F703C"/>
    <w:rsid w:val="00200B9E"/>
    <w:rsid w:val="00200BF5"/>
    <w:rsid w:val="002010D1"/>
    <w:rsid w:val="00201338"/>
    <w:rsid w:val="00206ED6"/>
    <w:rsid w:val="0020775D"/>
    <w:rsid w:val="002116DD"/>
    <w:rsid w:val="0021383D"/>
    <w:rsid w:val="00216BBA"/>
    <w:rsid w:val="00216E12"/>
    <w:rsid w:val="00217466"/>
    <w:rsid w:val="0021751D"/>
    <w:rsid w:val="00217C49"/>
    <w:rsid w:val="00221284"/>
    <w:rsid w:val="0022177D"/>
    <w:rsid w:val="002242DA"/>
    <w:rsid w:val="002247D5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A34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877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16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AD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0B1"/>
    <w:rsid w:val="00357CA1"/>
    <w:rsid w:val="00361FE9"/>
    <w:rsid w:val="003624F2"/>
    <w:rsid w:val="00363854"/>
    <w:rsid w:val="00364315"/>
    <w:rsid w:val="003643E2"/>
    <w:rsid w:val="00367576"/>
    <w:rsid w:val="00370155"/>
    <w:rsid w:val="003712D5"/>
    <w:rsid w:val="003747DF"/>
    <w:rsid w:val="003763CC"/>
    <w:rsid w:val="00377E3D"/>
    <w:rsid w:val="003841A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142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7A4"/>
    <w:rsid w:val="00422039"/>
    <w:rsid w:val="00423F46"/>
    <w:rsid w:val="00423FBC"/>
    <w:rsid w:val="004241AA"/>
    <w:rsid w:val="0042422E"/>
    <w:rsid w:val="0043190E"/>
    <w:rsid w:val="004324E9"/>
    <w:rsid w:val="00434B31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C5F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FE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9D9"/>
    <w:rsid w:val="00561528"/>
    <w:rsid w:val="0056153F"/>
    <w:rsid w:val="00561B14"/>
    <w:rsid w:val="00562C87"/>
    <w:rsid w:val="005636BD"/>
    <w:rsid w:val="0056381F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078"/>
    <w:rsid w:val="005D4DAE"/>
    <w:rsid w:val="005D58B2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94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3C5"/>
    <w:rsid w:val="00645750"/>
    <w:rsid w:val="00650692"/>
    <w:rsid w:val="006508D3"/>
    <w:rsid w:val="00650AFA"/>
    <w:rsid w:val="00662B77"/>
    <w:rsid w:val="00662D0E"/>
    <w:rsid w:val="00663265"/>
    <w:rsid w:val="0066345F"/>
    <w:rsid w:val="006639F2"/>
    <w:rsid w:val="0066485B"/>
    <w:rsid w:val="0067036E"/>
    <w:rsid w:val="00671693"/>
    <w:rsid w:val="006757AA"/>
    <w:rsid w:val="00681213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5C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52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C4C"/>
    <w:rsid w:val="006F365D"/>
    <w:rsid w:val="006F4BB0"/>
    <w:rsid w:val="006F7B05"/>
    <w:rsid w:val="00701E6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5CC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97D"/>
    <w:rsid w:val="007509BE"/>
    <w:rsid w:val="00752200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C87"/>
    <w:rsid w:val="007B4FCA"/>
    <w:rsid w:val="007B7B85"/>
    <w:rsid w:val="007C462E"/>
    <w:rsid w:val="007C48EB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236"/>
    <w:rsid w:val="0080765F"/>
    <w:rsid w:val="00810D63"/>
    <w:rsid w:val="00812BE3"/>
    <w:rsid w:val="00814516"/>
    <w:rsid w:val="00815C9D"/>
    <w:rsid w:val="008170E2"/>
    <w:rsid w:val="008171E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AB8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C0D"/>
    <w:rsid w:val="008A3188"/>
    <w:rsid w:val="008A39D3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D86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854"/>
    <w:rsid w:val="008F09DF"/>
    <w:rsid w:val="008F3053"/>
    <w:rsid w:val="008F3136"/>
    <w:rsid w:val="008F40DF"/>
    <w:rsid w:val="008F5E16"/>
    <w:rsid w:val="008F5ECE"/>
    <w:rsid w:val="008F5EFC"/>
    <w:rsid w:val="00901670"/>
    <w:rsid w:val="00902212"/>
    <w:rsid w:val="00903E0A"/>
    <w:rsid w:val="00904721"/>
    <w:rsid w:val="009066E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3DB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0D7"/>
    <w:rsid w:val="0096482F"/>
    <w:rsid w:val="00964E3A"/>
    <w:rsid w:val="00965FE3"/>
    <w:rsid w:val="00967126"/>
    <w:rsid w:val="00967561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694"/>
    <w:rsid w:val="0099403D"/>
    <w:rsid w:val="00995B0B"/>
    <w:rsid w:val="009A1883"/>
    <w:rsid w:val="009A39F5"/>
    <w:rsid w:val="009A4588"/>
    <w:rsid w:val="009A5EA5"/>
    <w:rsid w:val="009B00C2"/>
    <w:rsid w:val="009B26AB"/>
    <w:rsid w:val="009B273E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EC6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764"/>
    <w:rsid w:val="00A3420E"/>
    <w:rsid w:val="00A35D66"/>
    <w:rsid w:val="00A36962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473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EB6"/>
    <w:rsid w:val="00AA48CC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C51"/>
    <w:rsid w:val="00AC2E9A"/>
    <w:rsid w:val="00AC5AAB"/>
    <w:rsid w:val="00AC5AEC"/>
    <w:rsid w:val="00AC5F28"/>
    <w:rsid w:val="00AC6900"/>
    <w:rsid w:val="00AD304B"/>
    <w:rsid w:val="00AD4497"/>
    <w:rsid w:val="00AD6DBA"/>
    <w:rsid w:val="00AD7780"/>
    <w:rsid w:val="00AE2263"/>
    <w:rsid w:val="00AE248E"/>
    <w:rsid w:val="00AE2D12"/>
    <w:rsid w:val="00AE2F06"/>
    <w:rsid w:val="00AE4F1C"/>
    <w:rsid w:val="00AF060E"/>
    <w:rsid w:val="00AF1433"/>
    <w:rsid w:val="00AF48B4"/>
    <w:rsid w:val="00AF4923"/>
    <w:rsid w:val="00AF7C74"/>
    <w:rsid w:val="00B000AF"/>
    <w:rsid w:val="00B004BB"/>
    <w:rsid w:val="00B042F2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0C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7F7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7F8"/>
    <w:rsid w:val="00C2142B"/>
    <w:rsid w:val="00C22987"/>
    <w:rsid w:val="00C23956"/>
    <w:rsid w:val="00C248E6"/>
    <w:rsid w:val="00C2766F"/>
    <w:rsid w:val="00C3223B"/>
    <w:rsid w:val="00C333C6"/>
    <w:rsid w:val="00C351E9"/>
    <w:rsid w:val="00C35CC5"/>
    <w:rsid w:val="00C361C5"/>
    <w:rsid w:val="00C36B93"/>
    <w:rsid w:val="00C377D1"/>
    <w:rsid w:val="00C37BDA"/>
    <w:rsid w:val="00C37C84"/>
    <w:rsid w:val="00C42B41"/>
    <w:rsid w:val="00C433F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129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657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288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E07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B2F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91D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E8E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6F2E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D5D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AF2"/>
    <w:rsid w:val="00EA658E"/>
    <w:rsid w:val="00EA7A88"/>
    <w:rsid w:val="00EB27F2"/>
    <w:rsid w:val="00EB3928"/>
    <w:rsid w:val="00EB5373"/>
    <w:rsid w:val="00EC02A2"/>
    <w:rsid w:val="00EC0455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619"/>
    <w:rsid w:val="00F13801"/>
    <w:rsid w:val="00F15223"/>
    <w:rsid w:val="00F15237"/>
    <w:rsid w:val="00F164B4"/>
    <w:rsid w:val="00F176E4"/>
    <w:rsid w:val="00F20E4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C0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96C"/>
    <w:rsid w:val="00FC1010"/>
    <w:rsid w:val="00FC35BC"/>
    <w:rsid w:val="00FC5388"/>
    <w:rsid w:val="00FC726C"/>
    <w:rsid w:val="00FD1B4B"/>
    <w:rsid w:val="00FD1B94"/>
    <w:rsid w:val="00FD6F18"/>
    <w:rsid w:val="00FE048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4A9D4C-556C-40E4-B8E4-B0785E5E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81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1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12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1213"/>
    <w:rPr>
      <w:b/>
      <w:bCs/>
    </w:rPr>
  </w:style>
  <w:style w:type="paragraph" w:styleId="Revision">
    <w:name w:val="Revision"/>
    <w:hidden/>
    <w:uiPriority w:val="99"/>
    <w:semiHidden/>
    <w:rsid w:val="00C741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52E"/>
    <w:pPr>
      <w:ind w:left="720"/>
      <w:contextualSpacing/>
    </w:pPr>
  </w:style>
  <w:style w:type="character" w:styleId="Hyperlink">
    <w:name w:val="Hyperlink"/>
    <w:basedOn w:val="DefaultParagraphFont"/>
    <w:unhideWhenUsed/>
    <w:rsid w:val="007C48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7302</Characters>
  <Application>Microsoft Office Word</Application>
  <DocSecurity>4</DocSecurity>
  <Lines>149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HB01372 (Committee Report (Substituted))</vt:lpstr>
    </vt:vector>
  </TitlesOfParts>
  <Company>State of Texas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22859</dc:subject>
  <dc:creator>State of Texas</dc:creator>
  <dc:description>HB 1372 by Harris, Cody-(H)Judiciary &amp; Civil Jurisprudence (Substitute Document Number: 88R 19694)</dc:description>
  <cp:lastModifiedBy>Stacey Nicchio</cp:lastModifiedBy>
  <cp:revision>2</cp:revision>
  <cp:lastPrinted>2003-11-26T17:21:00Z</cp:lastPrinted>
  <dcterms:created xsi:type="dcterms:W3CDTF">2023-04-13T23:43:00Z</dcterms:created>
  <dcterms:modified xsi:type="dcterms:W3CDTF">2023-04-13T23:43:00Z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23.102.1179</vt:lpwstr>
  </property>
</Properties>
</file>