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403C6" w14:paraId="7ECCB286" w14:textId="77777777" w:rsidTr="00345119">
        <w:tc>
          <w:tcPr>
            <w:tcW w:w="9576" w:type="dxa"/>
            <w:noWrap/>
          </w:tcPr>
          <w:p w14:paraId="107BF758" w14:textId="77777777" w:rsidR="008423E4" w:rsidRPr="0022177D" w:rsidRDefault="00E011AC" w:rsidP="007733E2">
            <w:pPr>
              <w:pStyle w:val="Heading1"/>
            </w:pPr>
            <w:r w:rsidRPr="00631897">
              <w:t>BILL ANALYSIS</w:t>
            </w:r>
          </w:p>
        </w:tc>
      </w:tr>
    </w:tbl>
    <w:p w14:paraId="0DE9AA6E" w14:textId="77777777" w:rsidR="008423E4" w:rsidRPr="0022177D" w:rsidRDefault="008423E4" w:rsidP="007733E2">
      <w:pPr>
        <w:jc w:val="center"/>
      </w:pPr>
    </w:p>
    <w:p w14:paraId="583BF93A" w14:textId="77777777" w:rsidR="008423E4" w:rsidRPr="00B31F0E" w:rsidRDefault="008423E4" w:rsidP="007733E2"/>
    <w:p w14:paraId="0FD519EA" w14:textId="77777777" w:rsidR="008423E4" w:rsidRPr="00742794" w:rsidRDefault="008423E4" w:rsidP="007733E2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403C6" w14:paraId="7A4907DF" w14:textId="77777777" w:rsidTr="00345119">
        <w:tc>
          <w:tcPr>
            <w:tcW w:w="9576" w:type="dxa"/>
          </w:tcPr>
          <w:p w14:paraId="7D4FD270" w14:textId="75703B4B" w:rsidR="008423E4" w:rsidRPr="00861995" w:rsidRDefault="00E011AC" w:rsidP="007733E2">
            <w:pPr>
              <w:jc w:val="right"/>
            </w:pPr>
            <w:r>
              <w:t>H.B. 1390</w:t>
            </w:r>
          </w:p>
        </w:tc>
      </w:tr>
      <w:tr w:rsidR="007403C6" w14:paraId="05D3E80A" w14:textId="77777777" w:rsidTr="00345119">
        <w:tc>
          <w:tcPr>
            <w:tcW w:w="9576" w:type="dxa"/>
          </w:tcPr>
          <w:p w14:paraId="5EBFF982" w14:textId="2E3E05FF" w:rsidR="008423E4" w:rsidRPr="00861995" w:rsidRDefault="00E011AC" w:rsidP="007733E2">
            <w:pPr>
              <w:jc w:val="right"/>
            </w:pPr>
            <w:r>
              <w:t xml:space="preserve">By: </w:t>
            </w:r>
            <w:r w:rsidR="00241BFF">
              <w:t>Shaheen</w:t>
            </w:r>
          </w:p>
        </w:tc>
      </w:tr>
      <w:tr w:rsidR="007403C6" w14:paraId="2B01357D" w14:textId="77777777" w:rsidTr="00345119">
        <w:tc>
          <w:tcPr>
            <w:tcW w:w="9576" w:type="dxa"/>
          </w:tcPr>
          <w:p w14:paraId="2D798C1E" w14:textId="2C6D38B7" w:rsidR="008423E4" w:rsidRPr="00861995" w:rsidRDefault="00E011AC" w:rsidP="007733E2">
            <w:pPr>
              <w:jc w:val="right"/>
            </w:pPr>
            <w:r>
              <w:t>Insurance</w:t>
            </w:r>
          </w:p>
        </w:tc>
      </w:tr>
      <w:tr w:rsidR="007403C6" w14:paraId="5679A12D" w14:textId="77777777" w:rsidTr="00345119">
        <w:tc>
          <w:tcPr>
            <w:tcW w:w="9576" w:type="dxa"/>
          </w:tcPr>
          <w:p w14:paraId="686DC709" w14:textId="5505A244" w:rsidR="008423E4" w:rsidRDefault="00E011AC" w:rsidP="007733E2">
            <w:pPr>
              <w:jc w:val="right"/>
            </w:pPr>
            <w:r>
              <w:t>Committee Report (Unamended)</w:t>
            </w:r>
          </w:p>
        </w:tc>
      </w:tr>
    </w:tbl>
    <w:p w14:paraId="13290D53" w14:textId="77777777" w:rsidR="008423E4" w:rsidRDefault="008423E4" w:rsidP="007733E2">
      <w:pPr>
        <w:tabs>
          <w:tab w:val="right" w:pos="9360"/>
        </w:tabs>
      </w:pPr>
    </w:p>
    <w:p w14:paraId="28F0D1B1" w14:textId="77777777" w:rsidR="008423E4" w:rsidRDefault="008423E4" w:rsidP="007733E2"/>
    <w:p w14:paraId="39A9310B" w14:textId="77777777" w:rsidR="008423E4" w:rsidRDefault="008423E4" w:rsidP="007733E2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403C6" w14:paraId="186ACD6C" w14:textId="77777777" w:rsidTr="00345119">
        <w:tc>
          <w:tcPr>
            <w:tcW w:w="9576" w:type="dxa"/>
          </w:tcPr>
          <w:p w14:paraId="2ACB4040" w14:textId="77777777" w:rsidR="008423E4" w:rsidRPr="00A8133F" w:rsidRDefault="00E011AC" w:rsidP="007733E2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26C9524" w14:textId="77777777" w:rsidR="008423E4" w:rsidRDefault="008423E4" w:rsidP="007733E2"/>
          <w:p w14:paraId="2AA26144" w14:textId="5DAF9411" w:rsidR="008423E4" w:rsidRDefault="00E011AC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A54FE">
              <w:t xml:space="preserve">In March of 2020, Governor Abbott </w:t>
            </w:r>
            <w:r>
              <w:t xml:space="preserve">issued an executive order </w:t>
            </w:r>
            <w:r w:rsidRPr="003A54FE">
              <w:t>waiv</w:t>
            </w:r>
            <w:r>
              <w:t>ing</w:t>
            </w:r>
            <w:r w:rsidRPr="003A54FE">
              <w:t xml:space="preserve"> certain regulations </w:t>
            </w:r>
            <w:r w:rsidR="00165517">
              <w:t xml:space="preserve">for telemedicine care in Texas </w:t>
            </w:r>
            <w:r w:rsidRPr="003A54FE">
              <w:t>and directed the Texas Department of Insurance</w:t>
            </w:r>
            <w:r>
              <w:t xml:space="preserve"> to</w:t>
            </w:r>
            <w:r w:rsidRPr="003A54FE">
              <w:t xml:space="preserve"> issue an emergency rule relating to telemedicine care for patients with state-regulated insurance plans to help doctors across Texas continue to treat their patients while mit</w:t>
            </w:r>
            <w:r w:rsidRPr="003A54FE">
              <w:t>igating the spread of COVID</w:t>
            </w:r>
            <w:r w:rsidR="00155F03">
              <w:noBreakHyphen/>
            </w:r>
            <w:r w:rsidRPr="003A54FE">
              <w:t>19.</w:t>
            </w:r>
            <w:r>
              <w:t xml:space="preserve"> </w:t>
            </w:r>
            <w:r w:rsidR="00165517">
              <w:t xml:space="preserve">Ensuring continued access to telemedicine care, particularly with regard to mental health services, is important for many Texans who for a variety of reasons may be unable to obtain in-person care. </w:t>
            </w:r>
            <w:r w:rsidRPr="003A54FE">
              <w:t>H</w:t>
            </w:r>
            <w:r>
              <w:t>.</w:t>
            </w:r>
            <w:r w:rsidRPr="003A54FE">
              <w:t>B</w:t>
            </w:r>
            <w:r>
              <w:t>.</w:t>
            </w:r>
            <w:r w:rsidR="00155F03">
              <w:t> </w:t>
            </w:r>
            <w:r w:rsidRPr="003A54FE">
              <w:t xml:space="preserve">1390 </w:t>
            </w:r>
            <w:r>
              <w:t>seeks</w:t>
            </w:r>
            <w:r w:rsidRPr="003A54FE">
              <w:t xml:space="preserve"> to </w:t>
            </w:r>
            <w:r>
              <w:t>require</w:t>
            </w:r>
            <w:r>
              <w:t xml:space="preserve"> certain health benefit plans to cover</w:t>
            </w:r>
            <w:r w:rsidRPr="003A54FE">
              <w:t xml:space="preserve"> mental health </w:t>
            </w:r>
            <w:r>
              <w:t>services</w:t>
            </w:r>
            <w:r w:rsidRPr="003A54FE">
              <w:t xml:space="preserve"> provided via telemedicine</w:t>
            </w:r>
            <w:r>
              <w:t xml:space="preserve"> on the same basis as those services </w:t>
            </w:r>
            <w:r w:rsidR="00165517">
              <w:t xml:space="preserve">are covered </w:t>
            </w:r>
            <w:r>
              <w:t>in an in-person setting</w:t>
            </w:r>
            <w:r w:rsidRPr="003A54FE">
              <w:t xml:space="preserve">. </w:t>
            </w:r>
          </w:p>
          <w:p w14:paraId="327A49B7" w14:textId="77777777" w:rsidR="008423E4" w:rsidRPr="00E26B13" w:rsidRDefault="008423E4" w:rsidP="007733E2">
            <w:pPr>
              <w:rPr>
                <w:b/>
              </w:rPr>
            </w:pPr>
          </w:p>
        </w:tc>
      </w:tr>
      <w:tr w:rsidR="007403C6" w14:paraId="5475B94C" w14:textId="77777777" w:rsidTr="00345119">
        <w:tc>
          <w:tcPr>
            <w:tcW w:w="9576" w:type="dxa"/>
          </w:tcPr>
          <w:p w14:paraId="545756D7" w14:textId="77777777" w:rsidR="0017725B" w:rsidRDefault="00E011AC" w:rsidP="007733E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5AB4F32" w14:textId="77777777" w:rsidR="0017725B" w:rsidRDefault="0017725B" w:rsidP="007733E2">
            <w:pPr>
              <w:rPr>
                <w:b/>
                <w:u w:val="single"/>
              </w:rPr>
            </w:pPr>
          </w:p>
          <w:p w14:paraId="14BEC3DD" w14:textId="756CC408" w:rsidR="00D34DD4" w:rsidRPr="00D34DD4" w:rsidRDefault="00E011AC" w:rsidP="007733E2">
            <w:pPr>
              <w:jc w:val="both"/>
            </w:pPr>
            <w:r>
              <w:t>It is the committee's opinion that this bill does not expressly cre</w:t>
            </w:r>
            <w:r>
              <w:t>ate a criminal offense, increase the punishment for an existing criminal offense or category of offenses, or change the eligibility of a person for community supervision, parole, or mandatory supervision.</w:t>
            </w:r>
          </w:p>
          <w:p w14:paraId="0429D8FB" w14:textId="77777777" w:rsidR="0017725B" w:rsidRPr="0017725B" w:rsidRDefault="0017725B" w:rsidP="007733E2">
            <w:pPr>
              <w:rPr>
                <w:b/>
                <w:u w:val="single"/>
              </w:rPr>
            </w:pPr>
          </w:p>
        </w:tc>
      </w:tr>
      <w:tr w:rsidR="007403C6" w14:paraId="5FBD41A4" w14:textId="77777777" w:rsidTr="00345119">
        <w:tc>
          <w:tcPr>
            <w:tcW w:w="9576" w:type="dxa"/>
          </w:tcPr>
          <w:p w14:paraId="43528794" w14:textId="77777777" w:rsidR="008423E4" w:rsidRPr="00A8133F" w:rsidRDefault="00E011AC" w:rsidP="007733E2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02812FB" w14:textId="77777777" w:rsidR="008423E4" w:rsidRDefault="008423E4" w:rsidP="007733E2"/>
          <w:p w14:paraId="717EFB81" w14:textId="2F837468" w:rsidR="00D34DD4" w:rsidRDefault="00E011AC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>
              <w:t>committee's opinion that this bill does not expressly grant any additional rulemaking authority to a state officer, department, agency, or institution.</w:t>
            </w:r>
          </w:p>
          <w:p w14:paraId="6B0CA906" w14:textId="77777777" w:rsidR="008423E4" w:rsidRPr="00E21FDC" w:rsidRDefault="008423E4" w:rsidP="007733E2">
            <w:pPr>
              <w:rPr>
                <w:b/>
              </w:rPr>
            </w:pPr>
          </w:p>
        </w:tc>
      </w:tr>
      <w:tr w:rsidR="007403C6" w14:paraId="64459443" w14:textId="77777777" w:rsidTr="00345119">
        <w:tc>
          <w:tcPr>
            <w:tcW w:w="9576" w:type="dxa"/>
          </w:tcPr>
          <w:p w14:paraId="7A8C1128" w14:textId="77777777" w:rsidR="008423E4" w:rsidRPr="00A8133F" w:rsidRDefault="00E011AC" w:rsidP="007733E2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A7B30E7" w14:textId="77777777" w:rsidR="008423E4" w:rsidRDefault="008423E4" w:rsidP="007733E2"/>
          <w:p w14:paraId="33767E33" w14:textId="44CACC9C" w:rsidR="00D674BA" w:rsidRDefault="00E011AC" w:rsidP="007733E2">
            <w:pPr>
              <w:pStyle w:val="Header"/>
              <w:jc w:val="both"/>
            </w:pPr>
            <w:r>
              <w:t>H.B. 1390 amends the Insurance Code to</w:t>
            </w:r>
            <w:r w:rsidR="00E277CF">
              <w:t xml:space="preserve"> require a health benefit plan </w:t>
            </w:r>
            <w:r w:rsidR="00E277CF" w:rsidRPr="00E277CF">
              <w:t>offered by an approved nonprofit health corporation</w:t>
            </w:r>
            <w:r w:rsidR="00E277CF">
              <w:t xml:space="preserve"> that provides benefits for medical or surgical expenses incurred as a result of a health condition, accident, or </w:t>
            </w:r>
            <w:r w:rsidR="00E01D95">
              <w:t xml:space="preserve">sickness </w:t>
            </w:r>
            <w:r w:rsidR="00E277CF">
              <w:t xml:space="preserve">to </w:t>
            </w:r>
            <w:r w:rsidR="009C3E39">
              <w:t xml:space="preserve">cover </w:t>
            </w:r>
            <w:r w:rsidR="00E277CF">
              <w:t xml:space="preserve">telemedicine medical services and telehealth services provided by </w:t>
            </w:r>
            <w:r w:rsidRPr="00D674BA">
              <w:t>an individual</w:t>
            </w:r>
            <w:r w:rsidR="009C3E39">
              <w:t xml:space="preserve"> </w:t>
            </w:r>
            <w:r w:rsidRPr="00D674BA">
              <w:t>who is credentialed to provide qualified mental health professional community services</w:t>
            </w:r>
            <w:r w:rsidR="008D485B">
              <w:t>, to</w:t>
            </w:r>
            <w:r w:rsidR="00AB1DAE">
              <w:t xml:space="preserve"> be provided</w:t>
            </w:r>
            <w:r>
              <w:t xml:space="preserve"> </w:t>
            </w:r>
            <w:r w:rsidR="00E277CF">
              <w:t xml:space="preserve">on the same basis and to the same extent </w:t>
            </w:r>
            <w:r w:rsidR="00AB1DAE">
              <w:t>as the</w:t>
            </w:r>
            <w:r w:rsidR="00E277CF">
              <w:t xml:space="preserve"> coverage</w:t>
            </w:r>
            <w:r w:rsidR="00AB1DAE">
              <w:t xml:space="preserve"> provided</w:t>
            </w:r>
            <w:r w:rsidR="00E277CF">
              <w:t xml:space="preserve"> for the service or procedure in an in-person setting</w:t>
            </w:r>
            <w:r w:rsidR="00AB1DAE">
              <w:t xml:space="preserve">. The </w:t>
            </w:r>
            <w:r w:rsidR="008D485B">
              <w:t xml:space="preserve">coverage </w:t>
            </w:r>
            <w:r w:rsidR="00AB1DAE">
              <w:t xml:space="preserve">requirement is </w:t>
            </w:r>
            <w:r w:rsidR="00E277CF">
              <w:t>contingent on the individual having demonstrated and documented competency in the work to be performed and</w:t>
            </w:r>
            <w:r w:rsidR="008D485B">
              <w:t xml:space="preserve"> on </w:t>
            </w:r>
            <w:r w:rsidR="00E277CF">
              <w:t xml:space="preserve">satisfying one of </w:t>
            </w:r>
            <w:r>
              <w:t>the following</w:t>
            </w:r>
            <w:r w:rsidR="00E277CF">
              <w:t xml:space="preserve"> conditions</w:t>
            </w:r>
            <w:r>
              <w:t xml:space="preserve">: </w:t>
            </w:r>
          </w:p>
          <w:p w14:paraId="1051FA96" w14:textId="4D804F6C" w:rsidR="00D674BA" w:rsidRDefault="00E011AC" w:rsidP="007733E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hold</w:t>
            </w:r>
            <w:r w:rsidR="00E277CF">
              <w:t>ing</w:t>
            </w:r>
            <w:r>
              <w:t xml:space="preserve"> a bachelor's or more advanced degree from an accredited inst</w:t>
            </w:r>
            <w:r>
              <w:t xml:space="preserve">itution of higher education with a minimum number of hours that is equivalent to a major in </w:t>
            </w:r>
            <w:r w:rsidR="000D363B">
              <w:t xml:space="preserve">one of </w:t>
            </w:r>
            <w:r w:rsidR="00235A44">
              <w:t xml:space="preserve">the </w:t>
            </w:r>
            <w:r w:rsidR="000D363B">
              <w:t xml:space="preserve">qualifying </w:t>
            </w:r>
            <w:r w:rsidR="00235A44">
              <w:t>disciplines</w:t>
            </w:r>
            <w:r w:rsidR="000D363B">
              <w:t xml:space="preserve"> set out by the bill;</w:t>
            </w:r>
          </w:p>
          <w:p w14:paraId="3406FB79" w14:textId="4E73BDB9" w:rsidR="00D674BA" w:rsidRDefault="00E011AC" w:rsidP="007733E2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being a registered nurse; or</w:t>
            </w:r>
          </w:p>
          <w:p w14:paraId="130FF40C" w14:textId="494233BB" w:rsidR="009C36CD" w:rsidRDefault="00E011AC" w:rsidP="007733E2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complet</w:t>
            </w:r>
            <w:r w:rsidR="000D363B">
              <w:t>ing</w:t>
            </w:r>
            <w:r>
              <w:t xml:space="preserve"> an alternative credentialing process identified by the Health and Hum</w:t>
            </w:r>
            <w:r>
              <w:t>an Services Commission.</w:t>
            </w:r>
          </w:p>
          <w:p w14:paraId="61E70A38" w14:textId="0BC75864" w:rsidR="000D363B" w:rsidRDefault="00E011AC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specifies, with respect to the similar coverage requirement </w:t>
            </w:r>
            <w:r w:rsidR="007E6A8F">
              <w:t xml:space="preserve">under current law </w:t>
            </w:r>
            <w:r>
              <w:t xml:space="preserve">for services or procedures provided by an individual who is a licensed or certified health professional </w:t>
            </w:r>
            <w:r w:rsidRPr="000D363B">
              <w:t>acting within the scope of the license or</w:t>
            </w:r>
            <w:r w:rsidRPr="000D363B">
              <w:t xml:space="preserve"> certification who does not perform a telemedicine medical service or a teledentistry dental service</w:t>
            </w:r>
            <w:r>
              <w:t>, the requirement applies to a mental health professional.</w:t>
            </w:r>
            <w:r w:rsidR="00E01D95">
              <w:t xml:space="preserve"> These provisions apply only to a health benefit plan delivered, issued for delivery, or renewed on or after January 1, 2024.</w:t>
            </w:r>
          </w:p>
          <w:p w14:paraId="04E9E1A6" w14:textId="77777777" w:rsidR="000D363B" w:rsidRDefault="000D363B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AE91EB6" w14:textId="6B1ACB35" w:rsidR="006A42BA" w:rsidRPr="009C36CD" w:rsidRDefault="00E011AC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1390 amends the Occupations Code to prohibit the T</w:t>
            </w:r>
            <w:r w:rsidRPr="006A42BA">
              <w:t xml:space="preserve">exas </w:t>
            </w:r>
            <w:r>
              <w:t>S</w:t>
            </w:r>
            <w:r w:rsidRPr="006A42BA">
              <w:t xml:space="preserve">tate </w:t>
            </w:r>
            <w:r>
              <w:t>B</w:t>
            </w:r>
            <w:r w:rsidRPr="006A42BA">
              <w:t xml:space="preserve">oard of </w:t>
            </w:r>
            <w:r>
              <w:t>P</w:t>
            </w:r>
            <w:r w:rsidRPr="006A42BA">
              <w:t>harmacy</w:t>
            </w:r>
            <w:r>
              <w:t xml:space="preserve"> </w:t>
            </w:r>
            <w:r w:rsidR="000D363B">
              <w:t xml:space="preserve">from </w:t>
            </w:r>
            <w:r>
              <w:t>requir</w:t>
            </w:r>
            <w:r w:rsidR="000D363B">
              <w:t>ing</w:t>
            </w:r>
            <w:r>
              <w:t xml:space="preserve"> </w:t>
            </w:r>
            <w:r w:rsidRPr="006A42BA">
              <w:t>the in-person counseling of pa</w:t>
            </w:r>
            <w:r w:rsidRPr="006A42BA">
              <w:t>tients</w:t>
            </w:r>
            <w:r>
              <w:t xml:space="preserve"> </w:t>
            </w:r>
            <w:r w:rsidR="00E01D95">
              <w:t xml:space="preserve">as part of its minimum standards for procedures for the </w:t>
            </w:r>
            <w:r w:rsidR="00E01D95" w:rsidRPr="00E01D95">
              <w:t xml:space="preserve">counseling of patients on proper use of a prescription drug or device in </w:t>
            </w:r>
            <w:r w:rsidRPr="006A42BA">
              <w:t>the practice of pharmacy</w:t>
            </w:r>
            <w:r w:rsidR="00A07B25">
              <w:t>.</w:t>
            </w:r>
          </w:p>
          <w:p w14:paraId="661239F0" w14:textId="77777777" w:rsidR="008423E4" w:rsidRPr="00835628" w:rsidRDefault="008423E4" w:rsidP="007733E2">
            <w:pPr>
              <w:rPr>
                <w:b/>
              </w:rPr>
            </w:pPr>
          </w:p>
        </w:tc>
      </w:tr>
      <w:tr w:rsidR="007403C6" w14:paraId="5BCDD5B5" w14:textId="77777777" w:rsidTr="00345119">
        <w:tc>
          <w:tcPr>
            <w:tcW w:w="9576" w:type="dxa"/>
          </w:tcPr>
          <w:p w14:paraId="5C55B3A4" w14:textId="77777777" w:rsidR="008423E4" w:rsidRPr="00A8133F" w:rsidRDefault="00E011AC" w:rsidP="007733E2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D98A98" w14:textId="77777777" w:rsidR="008423E4" w:rsidRDefault="008423E4" w:rsidP="007733E2"/>
          <w:p w14:paraId="5AA6D843" w14:textId="71F53A57" w:rsidR="008423E4" w:rsidRPr="003624F2" w:rsidRDefault="00E011AC" w:rsidP="007733E2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DC36385" w14:textId="77777777" w:rsidR="008423E4" w:rsidRPr="00233FDB" w:rsidRDefault="008423E4" w:rsidP="007733E2">
            <w:pPr>
              <w:rPr>
                <w:b/>
              </w:rPr>
            </w:pPr>
          </w:p>
        </w:tc>
      </w:tr>
    </w:tbl>
    <w:p w14:paraId="028C6C48" w14:textId="77777777" w:rsidR="008423E4" w:rsidRPr="00BE0E75" w:rsidRDefault="008423E4" w:rsidP="007733E2">
      <w:pPr>
        <w:jc w:val="both"/>
        <w:rPr>
          <w:rFonts w:ascii="Arial" w:hAnsi="Arial"/>
          <w:sz w:val="16"/>
          <w:szCs w:val="16"/>
        </w:rPr>
      </w:pPr>
    </w:p>
    <w:p w14:paraId="6022AC5E" w14:textId="77777777" w:rsidR="004108C3" w:rsidRPr="008423E4" w:rsidRDefault="004108C3" w:rsidP="007733E2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694E" w14:textId="77777777" w:rsidR="00000000" w:rsidRDefault="00E011AC">
      <w:r>
        <w:separator/>
      </w:r>
    </w:p>
  </w:endnote>
  <w:endnote w:type="continuationSeparator" w:id="0">
    <w:p w14:paraId="50096181" w14:textId="77777777" w:rsidR="00000000" w:rsidRDefault="00E0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1113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403C6" w14:paraId="31195D32" w14:textId="77777777" w:rsidTr="009C1E9A">
      <w:trPr>
        <w:cantSplit/>
      </w:trPr>
      <w:tc>
        <w:tcPr>
          <w:tcW w:w="0" w:type="pct"/>
        </w:tcPr>
        <w:p w14:paraId="2EA90C5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64B76F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81FCA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69F08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10AF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3C6" w14:paraId="626D034F" w14:textId="77777777" w:rsidTr="009C1E9A">
      <w:trPr>
        <w:cantSplit/>
      </w:trPr>
      <w:tc>
        <w:tcPr>
          <w:tcW w:w="0" w:type="pct"/>
        </w:tcPr>
        <w:p w14:paraId="3519133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E030CD5" w14:textId="3837F2DA" w:rsidR="00EC379B" w:rsidRPr="009C1E9A" w:rsidRDefault="00E011A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26499-D</w:t>
          </w:r>
        </w:p>
      </w:tc>
      <w:tc>
        <w:tcPr>
          <w:tcW w:w="2453" w:type="pct"/>
        </w:tcPr>
        <w:p w14:paraId="761017C6" w14:textId="33D0357B" w:rsidR="00EC379B" w:rsidRDefault="00E011A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55F03">
            <w:t>23.117.2235</w:t>
          </w:r>
          <w:r>
            <w:fldChar w:fldCharType="end"/>
          </w:r>
        </w:p>
      </w:tc>
    </w:tr>
    <w:tr w:rsidR="007403C6" w14:paraId="1C453341" w14:textId="77777777" w:rsidTr="009C1E9A">
      <w:trPr>
        <w:cantSplit/>
      </w:trPr>
      <w:tc>
        <w:tcPr>
          <w:tcW w:w="0" w:type="pct"/>
        </w:tcPr>
        <w:p w14:paraId="0B24DB9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00A282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0B2F4EC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C6AE7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403C6" w14:paraId="10F1291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5CC12B1" w14:textId="77777777" w:rsidR="00EC379B" w:rsidRDefault="00E011A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F5CE1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EC3440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4BDE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8431" w14:textId="77777777" w:rsidR="00000000" w:rsidRDefault="00E011AC">
      <w:r>
        <w:separator/>
      </w:r>
    </w:p>
  </w:footnote>
  <w:footnote w:type="continuationSeparator" w:id="0">
    <w:p w14:paraId="4A2A10A2" w14:textId="77777777" w:rsidR="00000000" w:rsidRDefault="00E0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3E20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A30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E1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57A"/>
    <w:multiLevelType w:val="hybridMultilevel"/>
    <w:tmpl w:val="5B10D460"/>
    <w:lvl w:ilvl="0" w:tplc="9A74C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0FA1C66" w:tentative="1">
      <w:start w:val="1"/>
      <w:numFmt w:val="lowerLetter"/>
      <w:lvlText w:val="%2."/>
      <w:lvlJc w:val="left"/>
      <w:pPr>
        <w:ind w:left="1440" w:hanging="360"/>
      </w:pPr>
    </w:lvl>
    <w:lvl w:ilvl="2" w:tplc="FF168B96" w:tentative="1">
      <w:start w:val="1"/>
      <w:numFmt w:val="lowerRoman"/>
      <w:lvlText w:val="%3."/>
      <w:lvlJc w:val="right"/>
      <w:pPr>
        <w:ind w:left="2160" w:hanging="180"/>
      </w:pPr>
    </w:lvl>
    <w:lvl w:ilvl="3" w:tplc="5AE6B0B2" w:tentative="1">
      <w:start w:val="1"/>
      <w:numFmt w:val="decimal"/>
      <w:lvlText w:val="%4."/>
      <w:lvlJc w:val="left"/>
      <w:pPr>
        <w:ind w:left="2880" w:hanging="360"/>
      </w:pPr>
    </w:lvl>
    <w:lvl w:ilvl="4" w:tplc="13CE1110" w:tentative="1">
      <w:start w:val="1"/>
      <w:numFmt w:val="lowerLetter"/>
      <w:lvlText w:val="%5."/>
      <w:lvlJc w:val="left"/>
      <w:pPr>
        <w:ind w:left="3600" w:hanging="360"/>
      </w:pPr>
    </w:lvl>
    <w:lvl w:ilvl="5" w:tplc="DA4A05AA" w:tentative="1">
      <w:start w:val="1"/>
      <w:numFmt w:val="lowerRoman"/>
      <w:lvlText w:val="%6."/>
      <w:lvlJc w:val="right"/>
      <w:pPr>
        <w:ind w:left="4320" w:hanging="180"/>
      </w:pPr>
    </w:lvl>
    <w:lvl w:ilvl="6" w:tplc="B80E8BE8" w:tentative="1">
      <w:start w:val="1"/>
      <w:numFmt w:val="decimal"/>
      <w:lvlText w:val="%7."/>
      <w:lvlJc w:val="left"/>
      <w:pPr>
        <w:ind w:left="5040" w:hanging="360"/>
      </w:pPr>
    </w:lvl>
    <w:lvl w:ilvl="7" w:tplc="AE545764" w:tentative="1">
      <w:start w:val="1"/>
      <w:numFmt w:val="lowerLetter"/>
      <w:lvlText w:val="%8."/>
      <w:lvlJc w:val="left"/>
      <w:pPr>
        <w:ind w:left="5760" w:hanging="360"/>
      </w:pPr>
    </w:lvl>
    <w:lvl w:ilvl="8" w:tplc="F498E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D44A5"/>
    <w:multiLevelType w:val="hybridMultilevel"/>
    <w:tmpl w:val="7EFE329E"/>
    <w:lvl w:ilvl="0" w:tplc="C8A87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E0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03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248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07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C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A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C9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E9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6029">
    <w:abstractNumId w:val="1"/>
  </w:num>
  <w:num w:numId="2" w16cid:durableId="142869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3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63B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E73"/>
    <w:rsid w:val="00120797"/>
    <w:rsid w:val="001218D2"/>
    <w:rsid w:val="0012371B"/>
    <w:rsid w:val="001245C8"/>
    <w:rsid w:val="00124653"/>
    <w:rsid w:val="001247C5"/>
    <w:rsid w:val="00126CDD"/>
    <w:rsid w:val="00127893"/>
    <w:rsid w:val="001312BB"/>
    <w:rsid w:val="00137D90"/>
    <w:rsid w:val="00141FB6"/>
    <w:rsid w:val="00142F8E"/>
    <w:rsid w:val="00143C8B"/>
    <w:rsid w:val="00147530"/>
    <w:rsid w:val="0015331F"/>
    <w:rsid w:val="00155F03"/>
    <w:rsid w:val="00156AB2"/>
    <w:rsid w:val="00160402"/>
    <w:rsid w:val="00160571"/>
    <w:rsid w:val="00161E93"/>
    <w:rsid w:val="00162C7A"/>
    <w:rsid w:val="00162DAE"/>
    <w:rsid w:val="001639C5"/>
    <w:rsid w:val="00163E45"/>
    <w:rsid w:val="00165517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5A44"/>
    <w:rsid w:val="0024077A"/>
    <w:rsid w:val="00241BFF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1AB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4FE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0CDE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39C6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42BA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6D6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3C6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33E2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A8F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85B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3E39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07B25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44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1DAE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80D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0431"/>
    <w:rsid w:val="00C013F4"/>
    <w:rsid w:val="00C040AB"/>
    <w:rsid w:val="00C0499B"/>
    <w:rsid w:val="00C05406"/>
    <w:rsid w:val="00C05CF0"/>
    <w:rsid w:val="00C119AC"/>
    <w:rsid w:val="00C141F8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BAD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DD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4BA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48A2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C07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1AC"/>
    <w:rsid w:val="00E01462"/>
    <w:rsid w:val="00E01A76"/>
    <w:rsid w:val="00E01D95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7CF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47B02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24D1C-BAE1-4602-AD6D-D0837CC6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741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74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41A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4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41AB"/>
    <w:rPr>
      <w:b/>
      <w:bCs/>
    </w:rPr>
  </w:style>
  <w:style w:type="paragraph" w:styleId="Revision">
    <w:name w:val="Revision"/>
    <w:hidden/>
    <w:uiPriority w:val="99"/>
    <w:semiHidden/>
    <w:rsid w:val="00117E73"/>
    <w:rPr>
      <w:sz w:val="24"/>
      <w:szCs w:val="24"/>
    </w:rPr>
  </w:style>
  <w:style w:type="paragraph" w:customStyle="1" w:styleId="center">
    <w:name w:val="center"/>
    <w:basedOn w:val="Normal"/>
    <w:rsid w:val="005D39C6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1655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2774</Characters>
  <Application>Microsoft Office Word</Application>
  <DocSecurity>4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HB01390 (Committee Report (Unamended))</vt:lpstr>
    </vt:vector>
  </TitlesOfParts>
  <Company>State of Texas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26499</dc:subject>
  <dc:creator>State of Texas</dc:creator>
  <dc:description>HB 1390 by Shaheen-(H)Insurance</dc:description>
  <cp:lastModifiedBy>Stacey Nicchio</cp:lastModifiedBy>
  <cp:revision>2</cp:revision>
  <cp:lastPrinted>2003-11-26T17:21:00Z</cp:lastPrinted>
  <dcterms:created xsi:type="dcterms:W3CDTF">2023-05-03T18:53:00Z</dcterms:created>
  <dcterms:modified xsi:type="dcterms:W3CDTF">2023-05-03T18:53:00Z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23.117.2235</vt:lpwstr>
  </property>
</Properties>
</file>