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E14E5" w14:paraId="2A2C59BB" w14:textId="77777777" w:rsidTr="00345119">
        <w:tc>
          <w:tcPr>
            <w:tcW w:w="9576" w:type="dxa"/>
            <w:noWrap/>
          </w:tcPr>
          <w:p w14:paraId="59B259D0" w14:textId="77777777" w:rsidR="008423E4" w:rsidRPr="0022177D" w:rsidRDefault="0050677D" w:rsidP="005803EA">
            <w:pPr>
              <w:pStyle w:val="Heading1"/>
            </w:pPr>
            <w:r w:rsidRPr="00631897">
              <w:t>BILL ANALYSIS</w:t>
            </w:r>
          </w:p>
        </w:tc>
      </w:tr>
    </w:tbl>
    <w:p w14:paraId="027B1442" w14:textId="77777777" w:rsidR="008423E4" w:rsidRPr="0022177D" w:rsidRDefault="008423E4" w:rsidP="005803EA">
      <w:pPr>
        <w:jc w:val="center"/>
      </w:pPr>
    </w:p>
    <w:p w14:paraId="46C4D9BB" w14:textId="77777777" w:rsidR="008423E4" w:rsidRPr="00B31F0E" w:rsidRDefault="008423E4" w:rsidP="005803EA"/>
    <w:p w14:paraId="08E1A5CB" w14:textId="77777777" w:rsidR="008423E4" w:rsidRPr="00742794" w:rsidRDefault="008423E4" w:rsidP="005803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E14E5" w14:paraId="0BAB6881" w14:textId="77777777" w:rsidTr="00345119">
        <w:tc>
          <w:tcPr>
            <w:tcW w:w="9576" w:type="dxa"/>
          </w:tcPr>
          <w:p w14:paraId="53A21278" w14:textId="09FA4CBB" w:rsidR="008423E4" w:rsidRPr="00861995" w:rsidRDefault="0050677D" w:rsidP="005803EA">
            <w:pPr>
              <w:jc w:val="right"/>
            </w:pPr>
            <w:r>
              <w:t>H.B. 1394</w:t>
            </w:r>
          </w:p>
        </w:tc>
      </w:tr>
      <w:tr w:rsidR="005E14E5" w14:paraId="02F07ACD" w14:textId="77777777" w:rsidTr="00345119">
        <w:tc>
          <w:tcPr>
            <w:tcW w:w="9576" w:type="dxa"/>
          </w:tcPr>
          <w:p w14:paraId="49D4C759" w14:textId="625E5E2D" w:rsidR="008423E4" w:rsidRPr="00861995" w:rsidRDefault="0050677D" w:rsidP="005803EA">
            <w:pPr>
              <w:jc w:val="right"/>
            </w:pPr>
            <w:r>
              <w:t xml:space="preserve">By: </w:t>
            </w:r>
            <w:r w:rsidR="00154395">
              <w:t>Moody</w:t>
            </w:r>
          </w:p>
        </w:tc>
      </w:tr>
      <w:tr w:rsidR="005E14E5" w14:paraId="4A08ACF8" w14:textId="77777777" w:rsidTr="00345119">
        <w:tc>
          <w:tcPr>
            <w:tcW w:w="9576" w:type="dxa"/>
          </w:tcPr>
          <w:p w14:paraId="5EA3B94D" w14:textId="594FBFAF" w:rsidR="008423E4" w:rsidRPr="00861995" w:rsidRDefault="0050677D" w:rsidP="005803EA">
            <w:pPr>
              <w:jc w:val="right"/>
            </w:pPr>
            <w:r>
              <w:t>Criminal Jurisprudence</w:t>
            </w:r>
          </w:p>
        </w:tc>
      </w:tr>
      <w:tr w:rsidR="005E14E5" w14:paraId="4605D512" w14:textId="77777777" w:rsidTr="00345119">
        <w:tc>
          <w:tcPr>
            <w:tcW w:w="9576" w:type="dxa"/>
          </w:tcPr>
          <w:p w14:paraId="49E08973" w14:textId="63798685" w:rsidR="008423E4" w:rsidRDefault="0050677D" w:rsidP="005803EA">
            <w:pPr>
              <w:jc w:val="right"/>
            </w:pPr>
            <w:r>
              <w:t>Committee Report (Unamended)</w:t>
            </w:r>
          </w:p>
        </w:tc>
      </w:tr>
    </w:tbl>
    <w:p w14:paraId="68CBFAA3" w14:textId="77777777" w:rsidR="008423E4" w:rsidRDefault="008423E4" w:rsidP="005803EA">
      <w:pPr>
        <w:tabs>
          <w:tab w:val="right" w:pos="9360"/>
        </w:tabs>
      </w:pPr>
    </w:p>
    <w:p w14:paraId="745B3D04" w14:textId="77777777" w:rsidR="008423E4" w:rsidRDefault="008423E4" w:rsidP="005803EA"/>
    <w:p w14:paraId="6B40C1AE" w14:textId="77777777" w:rsidR="008423E4" w:rsidRDefault="008423E4" w:rsidP="005803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E14E5" w14:paraId="10D023B2" w14:textId="77777777" w:rsidTr="00345119">
        <w:tc>
          <w:tcPr>
            <w:tcW w:w="9576" w:type="dxa"/>
          </w:tcPr>
          <w:p w14:paraId="2E531A89" w14:textId="77777777" w:rsidR="008423E4" w:rsidRPr="00A8133F" w:rsidRDefault="0050677D" w:rsidP="005803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2DCA05" w14:textId="77777777" w:rsidR="008423E4" w:rsidRDefault="008423E4" w:rsidP="005803EA"/>
          <w:p w14:paraId="7AC9669C" w14:textId="58777400" w:rsidR="00165B4C" w:rsidRDefault="0050677D" w:rsidP="005803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65B4C">
              <w:t>There are multiple types of drug court programs in Texas for adult and juvenile populations</w:t>
            </w:r>
            <w:r>
              <w:t xml:space="preserve">, and they </w:t>
            </w:r>
            <w:r w:rsidRPr="00165B4C">
              <w:t xml:space="preserve">are a proven tool for </w:t>
            </w:r>
            <w:r w:rsidRPr="00165B4C">
              <w:t>improving public health and public safety. The drug court model offers local governments a cost-effective way to increase the percentage of addicted offenders who achieve sustained recovery, thereby improving public safety and reducing costs associated wit</w:t>
            </w:r>
            <w:r w:rsidRPr="00165B4C">
              <w:t>h re-arrest and additional incarceration</w:t>
            </w:r>
            <w:r>
              <w:t xml:space="preserve">. Increasing eligibility for drug courts would help to further reduce the costs of re-arrest and incarceration, while also giving people the help they need to break the cycle of </w:t>
            </w:r>
            <w:r w:rsidRPr="004E07B0">
              <w:t xml:space="preserve">addiction and recidivism. </w:t>
            </w:r>
            <w:r w:rsidRPr="005803EA">
              <w:t>A study fund</w:t>
            </w:r>
            <w:r w:rsidRPr="005803EA">
              <w:t xml:space="preserve">ed by </w:t>
            </w:r>
            <w:r w:rsidR="004E07B0" w:rsidRPr="004E07B0">
              <w:t>the Department of Justice</w:t>
            </w:r>
            <w:r w:rsidR="00B11E3A">
              <w:t xml:space="preserve"> from the National Institute </w:t>
            </w:r>
            <w:r w:rsidR="00A400BA">
              <w:t>of</w:t>
            </w:r>
            <w:r w:rsidR="00B11E3A">
              <w:t xml:space="preserve"> Justice, "</w:t>
            </w:r>
            <w:r w:rsidR="004E07B0" w:rsidRPr="004E07B0">
              <w:t>Recidivism Rates for Drug Court Graduates: Nationally Based Estimates</w:t>
            </w:r>
            <w:r w:rsidR="004E07B0">
              <w:t>,</w:t>
            </w:r>
            <w:r w:rsidR="00B11E3A">
              <w:t>"</w:t>
            </w:r>
            <w:r w:rsidR="004E07B0">
              <w:t xml:space="preserve"> </w:t>
            </w:r>
            <w:r w:rsidRPr="005803EA">
              <w:t>found that nationally, 84</w:t>
            </w:r>
            <w:r w:rsidR="005D6ABF" w:rsidRPr="005803EA">
              <w:t xml:space="preserve"> percent</w:t>
            </w:r>
            <w:r w:rsidRPr="005803EA">
              <w:t xml:space="preserve"> of drug court graduates have not been re-arrested and charged with a serious </w:t>
            </w:r>
            <w:r w:rsidRPr="005803EA">
              <w:t>crime in the first year after graduation, and 72.5</w:t>
            </w:r>
            <w:r w:rsidR="005D6ABF" w:rsidRPr="005803EA">
              <w:t xml:space="preserve"> percent</w:t>
            </w:r>
            <w:r w:rsidRPr="005803EA">
              <w:t xml:space="preserve"> have no arrests at the two-year mark. </w:t>
            </w:r>
            <w:r w:rsidR="00B11E3A">
              <w:t>A study from the Urban Institute, "T</w:t>
            </w:r>
            <w:r w:rsidR="004E07B0">
              <w:t>o Treat or Not to Treat: Evidence on the Prospects of Expanding Treatment to Drug-Involved Offenders</w:t>
            </w:r>
            <w:r w:rsidR="00B11E3A">
              <w:t>,</w:t>
            </w:r>
            <w:r w:rsidR="004E07B0">
              <w:t xml:space="preserve">" </w:t>
            </w:r>
            <w:r w:rsidR="00B11E3A">
              <w:t xml:space="preserve">finds that </w:t>
            </w:r>
            <w:r w:rsidRPr="005803EA">
              <w:t>for every</w:t>
            </w:r>
            <w:r w:rsidRPr="005803EA">
              <w:t xml:space="preserve"> $1 invested in drug court, taxpayers save as much as $3.36 in avoided criminal justice costs</w:t>
            </w:r>
            <w:r w:rsidRPr="004E07B0">
              <w:t>. H.B.</w:t>
            </w:r>
            <w:r w:rsidR="00C52726" w:rsidRPr="004E07B0">
              <w:t> </w:t>
            </w:r>
            <w:r w:rsidRPr="004E07B0">
              <w:t>1394</w:t>
            </w:r>
            <w:r w:rsidRPr="00165B4C">
              <w:t xml:space="preserve"> </w:t>
            </w:r>
            <w:r>
              <w:t xml:space="preserve">seeks to widen eligibility for such programs by </w:t>
            </w:r>
            <w:r w:rsidRPr="00165B4C">
              <w:t>giv</w:t>
            </w:r>
            <w:r>
              <w:t>ing</w:t>
            </w:r>
            <w:r w:rsidRPr="00165B4C">
              <w:t xml:space="preserve"> prosecutors the discretion to recommend a defendant to a drug court program who is not already c</w:t>
            </w:r>
            <w:r w:rsidRPr="00165B4C">
              <w:t>overed under the statute. Prosecuting attorneys are in the best position to make this decision because they are tasked with seeking justice and are privy to the particular circumstances of a defendant's background that might make them a strong candidate fo</w:t>
            </w:r>
            <w:r w:rsidRPr="00165B4C">
              <w:t>r a drug court program.</w:t>
            </w:r>
          </w:p>
          <w:p w14:paraId="4638EC5A" w14:textId="77777777" w:rsidR="008423E4" w:rsidRPr="00E26B13" w:rsidRDefault="008423E4" w:rsidP="005803EA">
            <w:pPr>
              <w:rPr>
                <w:b/>
              </w:rPr>
            </w:pPr>
          </w:p>
        </w:tc>
      </w:tr>
      <w:tr w:rsidR="005E14E5" w14:paraId="61319369" w14:textId="77777777" w:rsidTr="00345119">
        <w:tc>
          <w:tcPr>
            <w:tcW w:w="9576" w:type="dxa"/>
          </w:tcPr>
          <w:p w14:paraId="1BF625D4" w14:textId="77777777" w:rsidR="0017725B" w:rsidRDefault="0050677D" w:rsidP="005803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15F867" w14:textId="77777777" w:rsidR="0017725B" w:rsidRDefault="0017725B" w:rsidP="005803EA">
            <w:pPr>
              <w:rPr>
                <w:b/>
                <w:u w:val="single"/>
              </w:rPr>
            </w:pPr>
          </w:p>
          <w:p w14:paraId="06A9D52C" w14:textId="3C63B946" w:rsidR="000B0BE6" w:rsidRPr="000B0BE6" w:rsidRDefault="0050677D" w:rsidP="005803E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D29370B" w14:textId="77777777" w:rsidR="0017725B" w:rsidRPr="0017725B" w:rsidRDefault="0017725B" w:rsidP="005803EA">
            <w:pPr>
              <w:rPr>
                <w:b/>
                <w:u w:val="single"/>
              </w:rPr>
            </w:pPr>
          </w:p>
        </w:tc>
      </w:tr>
      <w:tr w:rsidR="005E14E5" w14:paraId="4B7A65CE" w14:textId="77777777" w:rsidTr="00345119">
        <w:tc>
          <w:tcPr>
            <w:tcW w:w="9576" w:type="dxa"/>
          </w:tcPr>
          <w:p w14:paraId="45F10B12" w14:textId="77777777" w:rsidR="008423E4" w:rsidRPr="00A8133F" w:rsidRDefault="0050677D" w:rsidP="005803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4288E8" w14:textId="77777777" w:rsidR="008423E4" w:rsidRDefault="008423E4" w:rsidP="005803EA"/>
          <w:p w14:paraId="46D8A6E5" w14:textId="008777C3" w:rsidR="000B0BE6" w:rsidRDefault="0050677D" w:rsidP="005803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3945F2A5" w14:textId="77777777" w:rsidR="008423E4" w:rsidRPr="00E21FDC" w:rsidRDefault="008423E4" w:rsidP="005803EA">
            <w:pPr>
              <w:rPr>
                <w:b/>
              </w:rPr>
            </w:pPr>
          </w:p>
        </w:tc>
      </w:tr>
      <w:tr w:rsidR="005E14E5" w14:paraId="783DA52C" w14:textId="77777777" w:rsidTr="00345119">
        <w:tc>
          <w:tcPr>
            <w:tcW w:w="9576" w:type="dxa"/>
          </w:tcPr>
          <w:p w14:paraId="31A05CB7" w14:textId="77777777" w:rsidR="008423E4" w:rsidRPr="00A8133F" w:rsidRDefault="0050677D" w:rsidP="005803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1199E4" w14:textId="11B7BB25" w:rsidR="008423E4" w:rsidRDefault="008423E4" w:rsidP="005803EA">
            <w:pPr>
              <w:tabs>
                <w:tab w:val="left" w:pos="5550"/>
              </w:tabs>
            </w:pPr>
          </w:p>
          <w:p w14:paraId="20EDA939" w14:textId="5EC1C73F" w:rsidR="00DE6225" w:rsidRDefault="0050677D" w:rsidP="005803EA">
            <w:pPr>
              <w:pStyle w:val="Header"/>
              <w:tabs>
                <w:tab w:val="clear" w:pos="4320"/>
                <w:tab w:val="clear" w:pos="8640"/>
                <w:tab w:val="left" w:pos="1950"/>
              </w:tabs>
              <w:jc w:val="both"/>
            </w:pPr>
            <w:r>
              <w:t xml:space="preserve">H.B. 1394 amends the Government </w:t>
            </w:r>
            <w:r w:rsidR="00B45187">
              <w:t>C</w:t>
            </w:r>
            <w:r>
              <w:t xml:space="preserve">ode </w:t>
            </w:r>
            <w:r w:rsidR="000B0BE6">
              <w:t xml:space="preserve">to </w:t>
            </w:r>
            <w:r w:rsidR="00B45187">
              <w:t xml:space="preserve">require the </w:t>
            </w:r>
            <w:r w:rsidR="00120B11">
              <w:t xml:space="preserve">consent of the </w:t>
            </w:r>
            <w:r w:rsidR="00B45187">
              <w:t>attorney</w:t>
            </w:r>
            <w:r w:rsidR="0017654E">
              <w:t xml:space="preserve"> representing the state</w:t>
            </w:r>
            <w:r w:rsidR="00B45187">
              <w:t xml:space="preserve"> </w:t>
            </w:r>
            <w:r w:rsidR="00120B11">
              <w:t>for</w:t>
            </w:r>
            <w:r w:rsidR="00B45187">
              <w:t xml:space="preserve"> </w:t>
            </w:r>
            <w:r w:rsidR="00F923D9">
              <w:t>a</w:t>
            </w:r>
            <w:r>
              <w:t xml:space="preserve"> person or juvenile</w:t>
            </w:r>
            <w:r w:rsidR="00120B11">
              <w:t xml:space="preserve"> to</w:t>
            </w:r>
            <w:r w:rsidR="00F923D9" w:rsidRPr="00F923D9">
              <w:t xml:space="preserve"> participat</w:t>
            </w:r>
            <w:r w:rsidR="00120B11">
              <w:t>e</w:t>
            </w:r>
            <w:r w:rsidR="00F923D9" w:rsidRPr="00F923D9">
              <w:t xml:space="preserve"> in </w:t>
            </w:r>
            <w:r w:rsidR="00120B11">
              <w:t>a</w:t>
            </w:r>
            <w:r w:rsidR="002F0F65">
              <w:t>n applicable</w:t>
            </w:r>
            <w:r w:rsidR="00120B11">
              <w:t xml:space="preserve"> </w:t>
            </w:r>
            <w:r w:rsidR="00F923D9" w:rsidRPr="00F923D9">
              <w:t>drug court program</w:t>
            </w:r>
            <w:r w:rsidR="002F0F65">
              <w:t xml:space="preserve"> if the</w:t>
            </w:r>
            <w:r w:rsidR="00B45187">
              <w:t xml:space="preserve"> person or juvenile</w:t>
            </w:r>
            <w:r w:rsidR="002F0F65">
              <w:t xml:space="preserve"> </w:t>
            </w:r>
            <w:r w:rsidR="00812A69">
              <w:t xml:space="preserve">is </w:t>
            </w:r>
            <w:r w:rsidR="00B45187">
              <w:t xml:space="preserve">ineligible to participate </w:t>
            </w:r>
            <w:r w:rsidR="00120B11">
              <w:t xml:space="preserve">in </w:t>
            </w:r>
            <w:r w:rsidR="002F1994">
              <w:t>a</w:t>
            </w:r>
            <w:r w:rsidR="00120B11">
              <w:t xml:space="preserve"> program </w:t>
            </w:r>
            <w:r w:rsidR="00B45187">
              <w:t>because of</w:t>
            </w:r>
            <w:r w:rsidR="00F923D9">
              <w:t xml:space="preserve"> the following</w:t>
            </w:r>
            <w:r w:rsidR="00120B11">
              <w:t>:</w:t>
            </w:r>
            <w:r>
              <w:t xml:space="preserve"> </w:t>
            </w:r>
          </w:p>
          <w:p w14:paraId="14DF3A18" w14:textId="64B148D5" w:rsidR="00C044A2" w:rsidRDefault="0050677D" w:rsidP="005803E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1950"/>
              </w:tabs>
              <w:jc w:val="both"/>
            </w:pPr>
            <w:r>
              <w:t>an offense</w:t>
            </w:r>
            <w:r w:rsidR="00DE6225">
              <w:t xml:space="preserve"> committed by </w:t>
            </w:r>
            <w:r w:rsidR="00120B11">
              <w:t>the</w:t>
            </w:r>
            <w:r w:rsidR="00DE6225">
              <w:t xml:space="preserve"> person</w:t>
            </w:r>
            <w:r w:rsidR="000144BF">
              <w:t xml:space="preserve">, </w:t>
            </w:r>
            <w:r w:rsidR="00E86277">
              <w:t xml:space="preserve">involving any of the following, </w:t>
            </w:r>
            <w:r w:rsidRPr="00C04979">
              <w:t>in which the use of alcohol or a controlled substance is suspected to have significantly contributed</w:t>
            </w:r>
            <w:r w:rsidR="00E86277">
              <w:t xml:space="preserve">: </w:t>
            </w:r>
          </w:p>
          <w:p w14:paraId="0065A10A" w14:textId="7502084A" w:rsidR="00C044A2" w:rsidRDefault="0050677D" w:rsidP="005803EA">
            <w:pPr>
              <w:pStyle w:val="Header"/>
              <w:numPr>
                <w:ilvl w:val="1"/>
                <w:numId w:val="3"/>
              </w:numPr>
              <w:tabs>
                <w:tab w:val="left" w:pos="1950"/>
              </w:tabs>
              <w:jc w:val="both"/>
            </w:pPr>
            <w:r>
              <w:t xml:space="preserve">carrying, </w:t>
            </w:r>
            <w:r>
              <w:t>possessing, or using a firearm or other dangerous weapon;</w:t>
            </w:r>
            <w:r w:rsidR="004B3CFE">
              <w:t xml:space="preserve"> </w:t>
            </w:r>
          </w:p>
          <w:p w14:paraId="7E9E7676" w14:textId="0043F550" w:rsidR="00DE6225" w:rsidRDefault="0050677D" w:rsidP="005803EA">
            <w:pPr>
              <w:pStyle w:val="Header"/>
              <w:numPr>
                <w:ilvl w:val="1"/>
                <w:numId w:val="3"/>
              </w:numPr>
              <w:tabs>
                <w:tab w:val="left" w:pos="1950"/>
              </w:tabs>
              <w:jc w:val="both"/>
            </w:pPr>
            <w:r w:rsidRPr="000144BF">
              <w:t xml:space="preserve">the use of force against the person of another; or  </w:t>
            </w:r>
          </w:p>
          <w:p w14:paraId="19DDCD94" w14:textId="4BC8D209" w:rsidR="00E86277" w:rsidRDefault="0050677D" w:rsidP="005803EA">
            <w:pPr>
              <w:pStyle w:val="Header"/>
              <w:numPr>
                <w:ilvl w:val="1"/>
                <w:numId w:val="3"/>
              </w:numPr>
              <w:tabs>
                <w:tab w:val="left" w:pos="1950"/>
              </w:tabs>
              <w:jc w:val="both"/>
            </w:pPr>
            <w:r>
              <w:t>the death of or serious bodily injury to another</w:t>
            </w:r>
            <w:r w:rsidR="00DE6225">
              <w:t>; or</w:t>
            </w:r>
          </w:p>
          <w:p w14:paraId="0BF9111B" w14:textId="31C1F1AB" w:rsidR="00544586" w:rsidRDefault="0050677D" w:rsidP="005803E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300"/>
              </w:tabs>
              <w:jc w:val="both"/>
            </w:pPr>
            <w:r>
              <w:t xml:space="preserve">delinquent conduct </w:t>
            </w:r>
            <w:r w:rsidRPr="000144BF">
              <w:t>or conduct indicating a need for supervision</w:t>
            </w:r>
            <w:r w:rsidR="00820626">
              <w:t xml:space="preserve"> </w:t>
            </w:r>
            <w:r w:rsidR="00DE6225">
              <w:t xml:space="preserve">by </w:t>
            </w:r>
            <w:r w:rsidR="00120B11">
              <w:t>the</w:t>
            </w:r>
            <w:r w:rsidR="00DE6225">
              <w:t xml:space="preserve"> juvenile, </w:t>
            </w:r>
            <w:r w:rsidR="00174532">
              <w:t xml:space="preserve">involving any of the following, </w:t>
            </w:r>
            <w:r w:rsidRPr="000144BF">
              <w:t>in which the use of alcohol or a controlled substance is suspected to have significantly contributed</w:t>
            </w:r>
            <w:r w:rsidR="00174532">
              <w:t>:</w:t>
            </w:r>
          </w:p>
          <w:p w14:paraId="6EB9280A" w14:textId="77777777" w:rsidR="00544586" w:rsidRDefault="0050677D" w:rsidP="005803EA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  <w:tab w:val="left" w:pos="3300"/>
              </w:tabs>
              <w:jc w:val="both"/>
            </w:pPr>
            <w:r w:rsidRPr="00544586">
              <w:t>carrying, possessing, or using a firearm or other dangerous weapon;</w:t>
            </w:r>
            <w:r>
              <w:t xml:space="preserve"> or</w:t>
            </w:r>
          </w:p>
          <w:p w14:paraId="6759D13C" w14:textId="77777777" w:rsidR="000B0BE6" w:rsidRDefault="0050677D" w:rsidP="005803EA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  <w:tab w:val="left" w:pos="3300"/>
              </w:tabs>
              <w:jc w:val="both"/>
            </w:pPr>
            <w:r w:rsidRPr="00544586">
              <w:t>the death of or serious bodily injury to another.</w:t>
            </w:r>
          </w:p>
          <w:p w14:paraId="0A744BB3" w14:textId="77777777" w:rsidR="008423E4" w:rsidRDefault="0050677D" w:rsidP="005803EA">
            <w:pPr>
              <w:pStyle w:val="Header"/>
              <w:tabs>
                <w:tab w:val="clear" w:pos="4320"/>
                <w:tab w:val="clear" w:pos="8640"/>
                <w:tab w:val="left" w:pos="3300"/>
              </w:tabs>
              <w:jc w:val="both"/>
            </w:pPr>
            <w:r>
              <w:t xml:space="preserve">The bill </w:t>
            </w:r>
            <w:r w:rsidR="000B0BE6">
              <w:t xml:space="preserve">applies to </w:t>
            </w:r>
            <w:r w:rsidR="000B0BE6" w:rsidRPr="000B0BE6">
              <w:t>a defendant who enters a drug court program</w:t>
            </w:r>
            <w:r w:rsidR="00AE44FD">
              <w:t>,</w:t>
            </w:r>
            <w:r w:rsidR="000B0BE6">
              <w:t xml:space="preserve"> </w:t>
            </w:r>
            <w:r w:rsidR="00140723" w:rsidRPr="00140723">
              <w:t>regardless of whether the defendant committed the offense for which the defendant enters the program before, on, or after</w:t>
            </w:r>
            <w:r w:rsidR="00AE44FD">
              <w:t xml:space="preserve"> the bill's effective</w:t>
            </w:r>
            <w:r w:rsidR="00140723">
              <w:t xml:space="preserve"> </w:t>
            </w:r>
            <w:r w:rsidR="00140723" w:rsidRPr="00140723">
              <w:t>date</w:t>
            </w:r>
            <w:r w:rsidR="000B0BE6">
              <w:t>.</w:t>
            </w:r>
          </w:p>
          <w:p w14:paraId="1BE340E7" w14:textId="2C0D048C" w:rsidR="005803EA" w:rsidRPr="000B0BE6" w:rsidRDefault="005803EA" w:rsidP="005803EA">
            <w:pPr>
              <w:pStyle w:val="Header"/>
              <w:tabs>
                <w:tab w:val="clear" w:pos="4320"/>
                <w:tab w:val="clear" w:pos="8640"/>
                <w:tab w:val="left" w:pos="3300"/>
              </w:tabs>
              <w:jc w:val="both"/>
            </w:pPr>
          </w:p>
        </w:tc>
      </w:tr>
      <w:tr w:rsidR="005E14E5" w14:paraId="7B1BC51A" w14:textId="77777777" w:rsidTr="00345119">
        <w:tc>
          <w:tcPr>
            <w:tcW w:w="9576" w:type="dxa"/>
          </w:tcPr>
          <w:p w14:paraId="6FF67F38" w14:textId="77777777" w:rsidR="008423E4" w:rsidRPr="00A8133F" w:rsidRDefault="0050677D" w:rsidP="005803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7B7975" w14:textId="77777777" w:rsidR="008423E4" w:rsidRDefault="008423E4" w:rsidP="005803EA"/>
          <w:p w14:paraId="41EF6FEB" w14:textId="4E6488E7" w:rsidR="008423E4" w:rsidRPr="003624F2" w:rsidRDefault="0050677D" w:rsidP="005803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9A57239" w14:textId="77777777" w:rsidR="008423E4" w:rsidRPr="00233FDB" w:rsidRDefault="008423E4" w:rsidP="005803EA">
            <w:pPr>
              <w:rPr>
                <w:b/>
              </w:rPr>
            </w:pPr>
          </w:p>
        </w:tc>
      </w:tr>
    </w:tbl>
    <w:p w14:paraId="736572D3" w14:textId="77777777" w:rsidR="008423E4" w:rsidRPr="00BE0E75" w:rsidRDefault="008423E4" w:rsidP="005803EA">
      <w:pPr>
        <w:jc w:val="both"/>
        <w:rPr>
          <w:rFonts w:ascii="Arial" w:hAnsi="Arial"/>
          <w:sz w:val="16"/>
          <w:szCs w:val="16"/>
        </w:rPr>
      </w:pPr>
    </w:p>
    <w:p w14:paraId="15F2F693" w14:textId="77777777" w:rsidR="004108C3" w:rsidRPr="008423E4" w:rsidRDefault="004108C3" w:rsidP="005803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91F8" w14:textId="77777777" w:rsidR="00000000" w:rsidRDefault="0050677D">
      <w:r>
        <w:separator/>
      </w:r>
    </w:p>
  </w:endnote>
  <w:endnote w:type="continuationSeparator" w:id="0">
    <w:p w14:paraId="7905E0C8" w14:textId="77777777" w:rsidR="00000000" w:rsidRDefault="0050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21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E14E5" w14:paraId="00AF419A" w14:textId="77777777" w:rsidTr="009C1E9A">
      <w:trPr>
        <w:cantSplit/>
      </w:trPr>
      <w:tc>
        <w:tcPr>
          <w:tcW w:w="0" w:type="pct"/>
        </w:tcPr>
        <w:p w14:paraId="394EB4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6DAB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4B7E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4419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9921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14E5" w14:paraId="6004B55E" w14:textId="77777777" w:rsidTr="009C1E9A">
      <w:trPr>
        <w:cantSplit/>
      </w:trPr>
      <w:tc>
        <w:tcPr>
          <w:tcW w:w="0" w:type="pct"/>
        </w:tcPr>
        <w:p w14:paraId="5E7455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FE6EC6" w14:textId="24D7B698" w:rsidR="00EC379B" w:rsidRPr="009C1E9A" w:rsidRDefault="005067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21019-D</w:t>
          </w:r>
        </w:p>
      </w:tc>
      <w:tc>
        <w:tcPr>
          <w:tcW w:w="2453" w:type="pct"/>
        </w:tcPr>
        <w:p w14:paraId="4EEC7300" w14:textId="79A9F91E" w:rsidR="00EC379B" w:rsidRDefault="005067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495C">
            <w:t>23.90.2081</w:t>
          </w:r>
          <w:r>
            <w:fldChar w:fldCharType="end"/>
          </w:r>
        </w:p>
      </w:tc>
    </w:tr>
    <w:tr w:rsidR="005E14E5" w14:paraId="0E585C6B" w14:textId="77777777" w:rsidTr="009C1E9A">
      <w:trPr>
        <w:cantSplit/>
      </w:trPr>
      <w:tc>
        <w:tcPr>
          <w:tcW w:w="0" w:type="pct"/>
        </w:tcPr>
        <w:p w14:paraId="2FAEC65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FBE6B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CF2F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58A2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14E5" w14:paraId="5F0EC6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DE2310" w14:textId="77777777" w:rsidR="00EC379B" w:rsidRDefault="005067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F409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E1E6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F6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2C44" w14:textId="77777777" w:rsidR="00000000" w:rsidRDefault="0050677D">
      <w:r>
        <w:separator/>
      </w:r>
    </w:p>
  </w:footnote>
  <w:footnote w:type="continuationSeparator" w:id="0">
    <w:p w14:paraId="12803873" w14:textId="77777777" w:rsidR="00000000" w:rsidRDefault="0050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C4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B4E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69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AA"/>
    <w:multiLevelType w:val="hybridMultilevel"/>
    <w:tmpl w:val="717ABAB4"/>
    <w:lvl w:ilvl="0" w:tplc="BBB219C6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438A92E8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6B725E4A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2548D4C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DE0B52E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F68254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6AE8A6CE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DDEC2514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B91E3002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76DC36D6"/>
    <w:multiLevelType w:val="hybridMultilevel"/>
    <w:tmpl w:val="C36C9500"/>
    <w:lvl w:ilvl="0" w:tplc="8FD0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AD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CD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05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9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0D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F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C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2A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86CB3"/>
    <w:multiLevelType w:val="hybridMultilevel"/>
    <w:tmpl w:val="B7D27FFA"/>
    <w:lvl w:ilvl="0" w:tplc="B5FAC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E1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2F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0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0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41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24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27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4BF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509"/>
    <w:rsid w:val="000B0BE6"/>
    <w:rsid w:val="000B0F30"/>
    <w:rsid w:val="000B1305"/>
    <w:rsid w:val="000B1486"/>
    <w:rsid w:val="000B220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B11"/>
    <w:rsid w:val="001218D2"/>
    <w:rsid w:val="0012371B"/>
    <w:rsid w:val="001245C8"/>
    <w:rsid w:val="00124653"/>
    <w:rsid w:val="001247C5"/>
    <w:rsid w:val="00127893"/>
    <w:rsid w:val="001312BB"/>
    <w:rsid w:val="00137D90"/>
    <w:rsid w:val="00140723"/>
    <w:rsid w:val="00141FB6"/>
    <w:rsid w:val="00142F8E"/>
    <w:rsid w:val="00143C8B"/>
    <w:rsid w:val="00147530"/>
    <w:rsid w:val="0015331F"/>
    <w:rsid w:val="00154395"/>
    <w:rsid w:val="0015450D"/>
    <w:rsid w:val="00156AB2"/>
    <w:rsid w:val="00160402"/>
    <w:rsid w:val="00160571"/>
    <w:rsid w:val="00161501"/>
    <w:rsid w:val="00161E93"/>
    <w:rsid w:val="00162C7A"/>
    <w:rsid w:val="00162DAE"/>
    <w:rsid w:val="001639C5"/>
    <w:rsid w:val="00163E45"/>
    <w:rsid w:val="00165B4C"/>
    <w:rsid w:val="001664C2"/>
    <w:rsid w:val="00171BF2"/>
    <w:rsid w:val="0017347B"/>
    <w:rsid w:val="00174532"/>
    <w:rsid w:val="0017654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9E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A5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08"/>
    <w:rsid w:val="002304DF"/>
    <w:rsid w:val="0023341D"/>
    <w:rsid w:val="002338DA"/>
    <w:rsid w:val="00233D66"/>
    <w:rsid w:val="00233FDB"/>
    <w:rsid w:val="0023495C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F65"/>
    <w:rsid w:val="002F1994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05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3B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CFE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B0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EE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77D"/>
    <w:rsid w:val="005073E8"/>
    <w:rsid w:val="00510503"/>
    <w:rsid w:val="0051324D"/>
    <w:rsid w:val="00515466"/>
    <w:rsid w:val="005154F7"/>
    <w:rsid w:val="005159DE"/>
    <w:rsid w:val="005269CE"/>
    <w:rsid w:val="005304B2"/>
    <w:rsid w:val="00530842"/>
    <w:rsid w:val="005336BD"/>
    <w:rsid w:val="00534A49"/>
    <w:rsid w:val="005363BB"/>
    <w:rsid w:val="00541B98"/>
    <w:rsid w:val="00543374"/>
    <w:rsid w:val="0054458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1E0"/>
    <w:rsid w:val="00573401"/>
    <w:rsid w:val="00576188"/>
    <w:rsid w:val="00576714"/>
    <w:rsid w:val="0057685A"/>
    <w:rsid w:val="005803E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ABF"/>
    <w:rsid w:val="005D767D"/>
    <w:rsid w:val="005D7A30"/>
    <w:rsid w:val="005D7D3B"/>
    <w:rsid w:val="005E14E5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98C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EB3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01A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A69"/>
    <w:rsid w:val="00812BE3"/>
    <w:rsid w:val="00814516"/>
    <w:rsid w:val="00815C9D"/>
    <w:rsid w:val="008170E2"/>
    <w:rsid w:val="0082062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9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59F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9E7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275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0BA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548"/>
    <w:rsid w:val="00A61262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3C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4FD"/>
    <w:rsid w:val="00AE4F1C"/>
    <w:rsid w:val="00AF1433"/>
    <w:rsid w:val="00AF48B4"/>
    <w:rsid w:val="00AF4923"/>
    <w:rsid w:val="00AF7C74"/>
    <w:rsid w:val="00B000AF"/>
    <w:rsid w:val="00B04E79"/>
    <w:rsid w:val="00B05781"/>
    <w:rsid w:val="00B07488"/>
    <w:rsid w:val="00B075A2"/>
    <w:rsid w:val="00B10DD2"/>
    <w:rsid w:val="00B115DC"/>
    <w:rsid w:val="00B11952"/>
    <w:rsid w:val="00B11E3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18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A41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4A2"/>
    <w:rsid w:val="00C04979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E1D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63D"/>
    <w:rsid w:val="00C5272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937"/>
    <w:rsid w:val="00CD4F2C"/>
    <w:rsid w:val="00CD731C"/>
    <w:rsid w:val="00CE061B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E6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61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53E"/>
    <w:rsid w:val="00DE49DE"/>
    <w:rsid w:val="00DE618B"/>
    <w:rsid w:val="00DE6225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AAC"/>
    <w:rsid w:val="00E16D3E"/>
    <w:rsid w:val="00E17167"/>
    <w:rsid w:val="00E20520"/>
    <w:rsid w:val="00E216F3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49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CEE"/>
    <w:rsid w:val="00E85DBD"/>
    <w:rsid w:val="00E86277"/>
    <w:rsid w:val="00E875C1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CA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3D9"/>
    <w:rsid w:val="00F96602"/>
    <w:rsid w:val="00F9735A"/>
    <w:rsid w:val="00FA32FC"/>
    <w:rsid w:val="00FA59FD"/>
    <w:rsid w:val="00FA5D8C"/>
    <w:rsid w:val="00FA6403"/>
    <w:rsid w:val="00FB16CD"/>
    <w:rsid w:val="00FB73AE"/>
    <w:rsid w:val="00FC05E4"/>
    <w:rsid w:val="00FC5388"/>
    <w:rsid w:val="00FC726C"/>
    <w:rsid w:val="00FD06CD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070F03-E01C-4907-81C4-A675DC2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06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06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0611"/>
    <w:rPr>
      <w:b/>
      <w:bCs/>
    </w:rPr>
  </w:style>
  <w:style w:type="paragraph" w:styleId="Revision">
    <w:name w:val="Revision"/>
    <w:hidden/>
    <w:uiPriority w:val="99"/>
    <w:semiHidden/>
    <w:rsid w:val="00B45187"/>
    <w:rPr>
      <w:sz w:val="24"/>
      <w:szCs w:val="24"/>
    </w:rPr>
  </w:style>
  <w:style w:type="character" w:styleId="Hyperlink">
    <w:name w:val="Hyperlink"/>
    <w:basedOn w:val="DefaultParagraphFont"/>
    <w:unhideWhenUsed/>
    <w:rsid w:val="00812A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6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2937</Characters>
  <Application>Microsoft Office Word</Application>
  <DocSecurity>4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HB01394 (Committee Report (Unamended))</vt:lpstr>
    </vt:vector>
  </TitlesOfParts>
  <Company>State of Texas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21019</dc:subject>
  <dc:creator>State of Texas</dc:creator>
  <dc:description>HB 1394 by Moody-(H)Criminal Jurisprudence</dc:description>
  <cp:lastModifiedBy>Alan Gonzalez Otero</cp:lastModifiedBy>
  <cp:revision>2</cp:revision>
  <cp:lastPrinted>2003-11-26T17:21:00Z</cp:lastPrinted>
  <dcterms:created xsi:type="dcterms:W3CDTF">2023-04-05T22:49:00Z</dcterms:created>
  <dcterms:modified xsi:type="dcterms:W3CDTF">2023-04-05T22:49:00Z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23.90.2081</vt:lpwstr>
  </property>
</Properties>
</file>