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00311" w14:paraId="69122A4D" w14:textId="77777777" w:rsidTr="00345119">
        <w:tc>
          <w:tcPr>
            <w:tcW w:w="9576" w:type="dxa"/>
            <w:noWrap/>
          </w:tcPr>
          <w:p w14:paraId="0701BF3D" w14:textId="77777777" w:rsidR="008423E4" w:rsidRPr="0022177D" w:rsidRDefault="00A77004" w:rsidP="00F80941">
            <w:pPr>
              <w:pStyle w:val="Heading1"/>
            </w:pPr>
            <w:r w:rsidRPr="00631897">
              <w:t>BILL ANALYSIS</w:t>
            </w:r>
          </w:p>
        </w:tc>
      </w:tr>
    </w:tbl>
    <w:p w14:paraId="78EDAD14" w14:textId="77777777" w:rsidR="008423E4" w:rsidRPr="0022177D" w:rsidRDefault="008423E4" w:rsidP="00F80941">
      <w:pPr>
        <w:jc w:val="center"/>
      </w:pPr>
    </w:p>
    <w:p w14:paraId="5115C1B0" w14:textId="77777777" w:rsidR="008423E4" w:rsidRPr="00B31F0E" w:rsidRDefault="008423E4" w:rsidP="00F80941"/>
    <w:p w14:paraId="4AB46CA8" w14:textId="77777777" w:rsidR="008423E4" w:rsidRPr="00742794" w:rsidRDefault="008423E4" w:rsidP="00F8094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00311" w14:paraId="0B476232" w14:textId="77777777" w:rsidTr="00345119">
        <w:tc>
          <w:tcPr>
            <w:tcW w:w="9576" w:type="dxa"/>
          </w:tcPr>
          <w:p w14:paraId="06B93C35" w14:textId="77777777" w:rsidR="008423E4" w:rsidRPr="00861995" w:rsidRDefault="00A77004" w:rsidP="00F80941">
            <w:pPr>
              <w:jc w:val="right"/>
            </w:pPr>
            <w:r>
              <w:t>C.S.H.B. 1450</w:t>
            </w:r>
          </w:p>
        </w:tc>
      </w:tr>
      <w:tr w:rsidR="00400311" w14:paraId="204EDFE9" w14:textId="77777777" w:rsidTr="00345119">
        <w:tc>
          <w:tcPr>
            <w:tcW w:w="9576" w:type="dxa"/>
          </w:tcPr>
          <w:p w14:paraId="4C8EE0B2" w14:textId="77777777" w:rsidR="008423E4" w:rsidRPr="00861995" w:rsidRDefault="00A77004" w:rsidP="00F80941">
            <w:pPr>
              <w:jc w:val="right"/>
            </w:pPr>
            <w:r>
              <w:t xml:space="preserve">By: </w:t>
            </w:r>
            <w:r w:rsidR="00F80941">
              <w:t>Collier</w:t>
            </w:r>
          </w:p>
        </w:tc>
      </w:tr>
      <w:tr w:rsidR="00400311" w14:paraId="0AFF5EC9" w14:textId="77777777" w:rsidTr="00345119">
        <w:tc>
          <w:tcPr>
            <w:tcW w:w="9576" w:type="dxa"/>
          </w:tcPr>
          <w:p w14:paraId="0CF0BFEB" w14:textId="77777777" w:rsidR="008423E4" w:rsidRPr="00861995" w:rsidRDefault="00A77004" w:rsidP="00F80941">
            <w:pPr>
              <w:jc w:val="right"/>
            </w:pPr>
            <w:r>
              <w:t>Business &amp; Industry</w:t>
            </w:r>
          </w:p>
        </w:tc>
      </w:tr>
      <w:tr w:rsidR="00400311" w14:paraId="20D25C8B" w14:textId="77777777" w:rsidTr="00345119">
        <w:tc>
          <w:tcPr>
            <w:tcW w:w="9576" w:type="dxa"/>
          </w:tcPr>
          <w:p w14:paraId="01E3F248" w14:textId="77777777" w:rsidR="008423E4" w:rsidRDefault="00A77004" w:rsidP="00F80941">
            <w:pPr>
              <w:jc w:val="right"/>
            </w:pPr>
            <w:r>
              <w:t>Committee Report (Substituted)</w:t>
            </w:r>
          </w:p>
        </w:tc>
      </w:tr>
    </w:tbl>
    <w:p w14:paraId="413516AB" w14:textId="77777777" w:rsidR="008423E4" w:rsidRDefault="008423E4" w:rsidP="00F80941">
      <w:pPr>
        <w:tabs>
          <w:tab w:val="right" w:pos="9360"/>
        </w:tabs>
      </w:pPr>
    </w:p>
    <w:p w14:paraId="2CB36441" w14:textId="77777777" w:rsidR="008423E4" w:rsidRDefault="008423E4" w:rsidP="00F80941"/>
    <w:p w14:paraId="7919EC0C" w14:textId="77777777" w:rsidR="008423E4" w:rsidRDefault="008423E4" w:rsidP="00F8094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00311" w14:paraId="383020D1" w14:textId="77777777" w:rsidTr="00345119">
        <w:tc>
          <w:tcPr>
            <w:tcW w:w="9576" w:type="dxa"/>
          </w:tcPr>
          <w:p w14:paraId="728191C6" w14:textId="77777777" w:rsidR="008423E4" w:rsidRPr="00A8133F" w:rsidRDefault="00A77004" w:rsidP="00F8094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FC25E39" w14:textId="77777777" w:rsidR="008423E4" w:rsidRDefault="008423E4" w:rsidP="00F80941"/>
          <w:p w14:paraId="0EA5B64F" w14:textId="7561F9E2" w:rsidR="008423E4" w:rsidRDefault="00A77004" w:rsidP="00F809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E61CE">
              <w:t xml:space="preserve">While eviction case dismissals are typically the best outcome for tenants, the filing of an eviction case can be reflected on a tenant's record for up to </w:t>
            </w:r>
            <w:r w:rsidR="003C51A0">
              <w:t>seven</w:t>
            </w:r>
            <w:r w:rsidRPr="008E61CE">
              <w:t xml:space="preserve"> years.</w:t>
            </w:r>
            <w:r>
              <w:t xml:space="preserve"> </w:t>
            </w:r>
            <w:r w:rsidRPr="008E61CE">
              <w:t>When a future employer, landlord, or credit company does a background check, the filing o</w:t>
            </w:r>
            <w:r w:rsidRPr="008E61CE">
              <w:t>f a</w:t>
            </w:r>
            <w:r>
              <w:t>n</w:t>
            </w:r>
            <w:r w:rsidRPr="008E61CE">
              <w:t xml:space="preserve"> eviction case that was dismissed can still harm the chances of finding adequate housing, jobs, or other opportunities.</w:t>
            </w:r>
            <w:r>
              <w:t xml:space="preserve"> C.S.H.B. 1450 seeks to address this issue by </w:t>
            </w:r>
            <w:r w:rsidRPr="00E36B3C">
              <w:t>requir</w:t>
            </w:r>
            <w:r>
              <w:t>ing</w:t>
            </w:r>
            <w:r w:rsidRPr="00E36B3C">
              <w:t xml:space="preserve"> courts to enter an order making the eviction case information confidential if</w:t>
            </w:r>
            <w:r w:rsidRPr="00E36B3C">
              <w:t xml:space="preserve"> the judgment is in favor of the defendant</w:t>
            </w:r>
            <w:r>
              <w:t>.</w:t>
            </w:r>
          </w:p>
          <w:p w14:paraId="064FA315" w14:textId="77777777" w:rsidR="008423E4" w:rsidRPr="00E26B13" w:rsidRDefault="008423E4" w:rsidP="00F80941">
            <w:pPr>
              <w:rPr>
                <w:b/>
              </w:rPr>
            </w:pPr>
          </w:p>
        </w:tc>
      </w:tr>
      <w:tr w:rsidR="00400311" w14:paraId="0C1CFA24" w14:textId="77777777" w:rsidTr="00345119">
        <w:tc>
          <w:tcPr>
            <w:tcW w:w="9576" w:type="dxa"/>
          </w:tcPr>
          <w:p w14:paraId="2967B0A4" w14:textId="77777777" w:rsidR="0017725B" w:rsidRDefault="00A77004" w:rsidP="00F809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9F05EB2" w14:textId="77777777" w:rsidR="0017725B" w:rsidRDefault="0017725B" w:rsidP="00F80941">
            <w:pPr>
              <w:rPr>
                <w:b/>
                <w:u w:val="single"/>
              </w:rPr>
            </w:pPr>
          </w:p>
          <w:p w14:paraId="656D8158" w14:textId="129F5304" w:rsidR="0017725B" w:rsidRPr="0017725B" w:rsidRDefault="00A77004" w:rsidP="00F8094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</w:t>
            </w:r>
            <w:r>
              <w:t>e eligibility of a person for community supervision, parole, or mandatory supervision.</w:t>
            </w:r>
          </w:p>
          <w:p w14:paraId="3507ED07" w14:textId="77777777" w:rsidR="0017725B" w:rsidRPr="0017725B" w:rsidRDefault="0017725B" w:rsidP="00F80941">
            <w:pPr>
              <w:rPr>
                <w:b/>
                <w:u w:val="single"/>
              </w:rPr>
            </w:pPr>
          </w:p>
        </w:tc>
      </w:tr>
      <w:tr w:rsidR="00400311" w14:paraId="0A660F49" w14:textId="77777777" w:rsidTr="00345119">
        <w:tc>
          <w:tcPr>
            <w:tcW w:w="9576" w:type="dxa"/>
          </w:tcPr>
          <w:p w14:paraId="4EB4ED53" w14:textId="77777777" w:rsidR="008423E4" w:rsidRPr="00A8133F" w:rsidRDefault="00A77004" w:rsidP="00F8094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E01767A" w14:textId="77777777" w:rsidR="008423E4" w:rsidRDefault="008423E4" w:rsidP="00F80941"/>
          <w:p w14:paraId="692ADA52" w14:textId="00E84990" w:rsidR="008423E4" w:rsidRDefault="00A77004" w:rsidP="00F809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</w:t>
            </w:r>
            <w:r>
              <w:t>, or institution.</w:t>
            </w:r>
          </w:p>
          <w:p w14:paraId="2C0657E1" w14:textId="77777777" w:rsidR="008423E4" w:rsidRPr="00E21FDC" w:rsidRDefault="008423E4" w:rsidP="00F80941">
            <w:pPr>
              <w:rPr>
                <w:b/>
              </w:rPr>
            </w:pPr>
          </w:p>
        </w:tc>
      </w:tr>
      <w:tr w:rsidR="00400311" w14:paraId="5317B99A" w14:textId="77777777" w:rsidTr="00345119">
        <w:tc>
          <w:tcPr>
            <w:tcW w:w="9576" w:type="dxa"/>
          </w:tcPr>
          <w:p w14:paraId="08650E02" w14:textId="77777777" w:rsidR="008423E4" w:rsidRPr="00A8133F" w:rsidRDefault="00A77004" w:rsidP="00F8094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D715D4" w14:textId="77777777" w:rsidR="008423E4" w:rsidRDefault="008423E4" w:rsidP="00F80941"/>
          <w:p w14:paraId="235E18DB" w14:textId="77777777" w:rsidR="00F80941" w:rsidRDefault="00A77004" w:rsidP="00F809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1450 amends the Property Code to require a court, c</w:t>
            </w:r>
            <w:r w:rsidRPr="00355055">
              <w:t>oncurrently with a judgment or order of dismissal in an eviction case,</w:t>
            </w:r>
            <w:r>
              <w:t xml:space="preserve"> to </w:t>
            </w:r>
            <w:r w:rsidRPr="00355055">
              <w:t xml:space="preserve">enter an order making confidential the eviction case information pertaining to a </w:t>
            </w:r>
            <w:r w:rsidRPr="00355055">
              <w:t>defendant if</w:t>
            </w:r>
            <w:r>
              <w:t xml:space="preserve"> any of the following occurs:</w:t>
            </w:r>
          </w:p>
          <w:p w14:paraId="6BEC4B58" w14:textId="77777777" w:rsidR="00F80941" w:rsidRDefault="00A77004" w:rsidP="00F8094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judgment is entered in favor of the defendant;</w:t>
            </w:r>
          </w:p>
          <w:p w14:paraId="63135B3D" w14:textId="77777777" w:rsidR="00F80941" w:rsidRDefault="00A77004" w:rsidP="00F8094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case is dismissed without any relief granted to the plaintiff; or</w:t>
            </w:r>
          </w:p>
          <w:p w14:paraId="78A01F21" w14:textId="77777777" w:rsidR="00F80941" w:rsidRDefault="00A77004" w:rsidP="00F8094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defendant is a residential tenant not otherwise in default and the eviction case is brought</w:t>
            </w:r>
            <w:r>
              <w:t xml:space="preserve"> by the successor in interest following foreclosure.</w:t>
            </w:r>
          </w:p>
          <w:p w14:paraId="31D72B60" w14:textId="77777777" w:rsidR="00F80941" w:rsidRDefault="00A77004" w:rsidP="00F809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a court, o</w:t>
            </w:r>
            <w:r w:rsidRPr="00355055">
              <w:t>n petition of a defendant after a judgment or order of dismissal has been entered,</w:t>
            </w:r>
            <w:r>
              <w:t xml:space="preserve"> to</w:t>
            </w:r>
            <w:r w:rsidRPr="00355055">
              <w:t xml:space="preserve"> enter an order making confidential the eviction case information pertaining to a defendan</w:t>
            </w:r>
            <w:r w:rsidRPr="00355055">
              <w:t>t if a confidentiality order was not issued and</w:t>
            </w:r>
            <w:r>
              <w:t xml:space="preserve"> either a judgment was entered in favor of the defendant or the case was dismissed without any relief granted to the plaintiff. The bill defines "eviction case" as a lawsuit brought under statutory provisions </w:t>
            </w:r>
            <w:r>
              <w:t>regarding a forcible entry and detainer to recover possession of leased or rented real property from a tenant, including a tenant at will or a tenant at sufferance.</w:t>
            </w:r>
          </w:p>
          <w:p w14:paraId="26A7DB6B" w14:textId="77777777" w:rsidR="00F80941" w:rsidRDefault="00F80941" w:rsidP="00F809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0994DAC" w14:textId="77777777" w:rsidR="00F80941" w:rsidRDefault="00A77004" w:rsidP="00F809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1450 requires a court, o</w:t>
            </w:r>
            <w:r w:rsidRPr="00355055">
              <w:t xml:space="preserve">n perfection of appeal by any party in an eviction case, </w:t>
            </w:r>
            <w:r>
              <w:t xml:space="preserve">to </w:t>
            </w:r>
            <w:r w:rsidRPr="00355055">
              <w:t>enter an order making confidential the case information of the trial court during the pendency of the appeal.</w:t>
            </w:r>
            <w:r>
              <w:t xml:space="preserve"> The bill does the following if </w:t>
            </w:r>
            <w:r w:rsidRPr="00355055">
              <w:t>an order is entered making eviction case information confidential</w:t>
            </w:r>
            <w:r>
              <w:t xml:space="preserve"> under the bill's provisions:</w:t>
            </w:r>
          </w:p>
          <w:p w14:paraId="644582FE" w14:textId="77777777" w:rsidR="00F80941" w:rsidRDefault="00A77004" w:rsidP="00F80941">
            <w:pPr>
              <w:pStyle w:val="Header"/>
              <w:numPr>
                <w:ilvl w:val="0"/>
                <w:numId w:val="2"/>
              </w:numPr>
              <w:jc w:val="both"/>
            </w:pPr>
            <w:r>
              <w:t>prohibits a court</w:t>
            </w:r>
            <w:r>
              <w:t xml:space="preserve"> or clerk from disclosing the eviction case information, except as follows:</w:t>
            </w:r>
          </w:p>
          <w:p w14:paraId="59BF3D5D" w14:textId="77777777" w:rsidR="00F80941" w:rsidRDefault="00A77004" w:rsidP="00F80941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to any judge or court staff of the trial court presiding over the case;</w:t>
            </w:r>
          </w:p>
          <w:p w14:paraId="18A1F2A0" w14:textId="60FF5F13" w:rsidR="00F80941" w:rsidRDefault="00A77004" w:rsidP="00F80941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to the parties to the suit or the parties' counsel; or</w:t>
            </w:r>
          </w:p>
          <w:p w14:paraId="5999ACEA" w14:textId="77777777" w:rsidR="00F80941" w:rsidRDefault="00A77004" w:rsidP="00F80941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to any other person, agency, or institution approved </w:t>
            </w:r>
            <w:r>
              <w:t>by the court with a legitimate and noncommercial interest in the work of the court in a form that omits any personal identifying information of the parties; and</w:t>
            </w:r>
          </w:p>
          <w:p w14:paraId="778B7707" w14:textId="77777777" w:rsidR="00F80941" w:rsidRDefault="00A77004" w:rsidP="00F80941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except to the extent permitted by federal law, prohibits a consumer reporting agency, a person </w:t>
            </w:r>
            <w:r>
              <w:t>other than a landlord who regularly collects and disseminates eviction case information, or a person who sells eviction case information from doing the following:</w:t>
            </w:r>
          </w:p>
          <w:p w14:paraId="3C624892" w14:textId="77777777" w:rsidR="00F80941" w:rsidRDefault="00A77004" w:rsidP="00F80941">
            <w:pPr>
              <w:pStyle w:val="Header"/>
              <w:numPr>
                <w:ilvl w:val="1"/>
                <w:numId w:val="2"/>
              </w:numPr>
              <w:jc w:val="both"/>
            </w:pPr>
            <w:r>
              <w:t>disclosing the existence of the case; or</w:t>
            </w:r>
          </w:p>
          <w:p w14:paraId="2186DACA" w14:textId="77777777" w:rsidR="00F80941" w:rsidRDefault="00A77004" w:rsidP="00F80941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using the case information as a factor in </w:t>
            </w:r>
            <w:r>
              <w:t>determining a score or recommendation in a tenant screening report regarding the defendant.</w:t>
            </w:r>
          </w:p>
          <w:p w14:paraId="3FEF4793" w14:textId="4D843160" w:rsidR="00F80941" w:rsidRDefault="00A77004" w:rsidP="00F80941">
            <w:pPr>
              <w:pStyle w:val="Header"/>
              <w:jc w:val="both"/>
            </w:pPr>
            <w:r>
              <w:t xml:space="preserve">The bill defines by reference a "consumer reporting agency" as </w:t>
            </w:r>
            <w:r w:rsidRPr="00734711">
              <w:t>a person that regularly engages wholly or partly in the practice of assembling or evaluating consumer</w:t>
            </w:r>
            <w:r w:rsidRPr="00734711">
              <w:t xml:space="preserve"> credit information or other information on consumers to furnish consumer reports to third parties for monetary fees, for dues, or on a cooperative nonprofit basis. The term does not include a business entity that provides only check verification or check </w:t>
            </w:r>
            <w:r w:rsidRPr="00734711">
              <w:t>guarantee services.</w:t>
            </w:r>
            <w:r>
              <w:t xml:space="preserve"> The bill makes such an agency or </w:t>
            </w:r>
            <w:r w:rsidRPr="006F4F65">
              <w:t xml:space="preserve">person who knowingly violates </w:t>
            </w:r>
            <w:r>
              <w:t>the applicable prohibition</w:t>
            </w:r>
            <w:r w:rsidRPr="006F4F65">
              <w:t xml:space="preserve"> liable to an injured party for</w:t>
            </w:r>
            <w:r>
              <w:t xml:space="preserve"> actual damages and reasonable attorney's fees and court costs. The bill expressly</w:t>
            </w:r>
            <w:r w:rsidRPr="006F4F65">
              <w:t xml:space="preserve"> does not prohibit a party to an e</w:t>
            </w:r>
            <w:r w:rsidRPr="006F4F65">
              <w:t>viction case from abstracting the judgment in the case.</w:t>
            </w:r>
          </w:p>
          <w:p w14:paraId="56854E3F" w14:textId="77777777" w:rsidR="008423E4" w:rsidRPr="00835628" w:rsidRDefault="008423E4" w:rsidP="00F80941">
            <w:pPr>
              <w:rPr>
                <w:b/>
              </w:rPr>
            </w:pPr>
          </w:p>
        </w:tc>
      </w:tr>
      <w:tr w:rsidR="00400311" w14:paraId="776FD597" w14:textId="77777777" w:rsidTr="00345119">
        <w:tc>
          <w:tcPr>
            <w:tcW w:w="9576" w:type="dxa"/>
          </w:tcPr>
          <w:p w14:paraId="503831C5" w14:textId="77777777" w:rsidR="008423E4" w:rsidRPr="00A8133F" w:rsidRDefault="00A77004" w:rsidP="00F8094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6DA30D4" w14:textId="77777777" w:rsidR="008423E4" w:rsidRDefault="008423E4" w:rsidP="00F80941"/>
          <w:p w14:paraId="4B8FFBD3" w14:textId="6EBDF72A" w:rsidR="008423E4" w:rsidRPr="003624F2" w:rsidRDefault="00A77004" w:rsidP="00F809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DBC9A14" w14:textId="77777777" w:rsidR="008423E4" w:rsidRPr="00233FDB" w:rsidRDefault="008423E4" w:rsidP="00F80941">
            <w:pPr>
              <w:rPr>
                <w:b/>
              </w:rPr>
            </w:pPr>
          </w:p>
        </w:tc>
      </w:tr>
      <w:tr w:rsidR="00400311" w14:paraId="694F7146" w14:textId="77777777" w:rsidTr="00345119">
        <w:tc>
          <w:tcPr>
            <w:tcW w:w="9576" w:type="dxa"/>
          </w:tcPr>
          <w:p w14:paraId="18620A74" w14:textId="77777777" w:rsidR="00F80941" w:rsidRDefault="00A77004" w:rsidP="00F8094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1E10FBD" w14:textId="77777777" w:rsidR="00F80941" w:rsidRDefault="00F80941" w:rsidP="00F80941">
            <w:pPr>
              <w:jc w:val="both"/>
              <w:rPr>
                <w:b/>
                <w:u w:val="single"/>
              </w:rPr>
            </w:pPr>
          </w:p>
          <w:p w14:paraId="7AA89C82" w14:textId="77777777" w:rsidR="00F80941" w:rsidRDefault="00A77004" w:rsidP="00F80941">
            <w:pPr>
              <w:jc w:val="both"/>
            </w:pPr>
            <w:r>
              <w:t>While C.S.H.B. 1450 may differ from the introduced in minor or nonsubstantive ways, the following summarizes the substa</w:t>
            </w:r>
            <w:r>
              <w:t>ntial differences between the introduced and committee substitute versions of the bill.</w:t>
            </w:r>
          </w:p>
          <w:p w14:paraId="31891419" w14:textId="77777777" w:rsidR="00F80941" w:rsidRDefault="00F80941" w:rsidP="00F80941">
            <w:pPr>
              <w:jc w:val="both"/>
            </w:pPr>
          </w:p>
          <w:p w14:paraId="0437BCB7" w14:textId="72D4DA12" w:rsidR="00F80941" w:rsidRPr="00F80941" w:rsidRDefault="00A77004" w:rsidP="00F80941">
            <w:pPr>
              <w:jc w:val="both"/>
              <w:rPr>
                <w:b/>
                <w:u w:val="single"/>
              </w:rPr>
            </w:pPr>
            <w:r w:rsidRPr="00D31CE6">
              <w:t>The substitute includes a provision absent from the introduced</w:t>
            </w:r>
            <w:r>
              <w:t xml:space="preserve"> defining a consumer reporting agency by reference for purposes of the bill's provisions. </w:t>
            </w:r>
            <w:r w:rsidRPr="00893E1D">
              <w:t xml:space="preserve">The substitute revises a </w:t>
            </w:r>
            <w:r>
              <w:t>prohibition</w:t>
            </w:r>
            <w:r w:rsidRPr="00893E1D">
              <w:t xml:space="preserve"> in the introduced </w:t>
            </w:r>
            <w:r>
              <w:t xml:space="preserve">against </w:t>
            </w:r>
            <w:r w:rsidRPr="00893E1D">
              <w:t>disclos</w:t>
            </w:r>
            <w:r>
              <w:t>ing</w:t>
            </w:r>
            <w:r w:rsidRPr="00893E1D">
              <w:t xml:space="preserve"> the existence of the eviction case or us</w:t>
            </w:r>
            <w:r>
              <w:t>ing</w:t>
            </w:r>
            <w:r w:rsidRPr="00893E1D">
              <w:t xml:space="preserve"> the eviction case information as a factor in det</w:t>
            </w:r>
            <w:r w:rsidRPr="00893E1D">
              <w:t xml:space="preserve">ermining a score or recommendation in a tenant screening report regarding the defendant by </w:t>
            </w:r>
            <w:r>
              <w:t xml:space="preserve">replacing a </w:t>
            </w:r>
            <w:r w:rsidRPr="00893E1D">
              <w:t>credit reporting agency</w:t>
            </w:r>
            <w:r>
              <w:t xml:space="preserve"> with </w:t>
            </w:r>
            <w:r w:rsidRPr="00893E1D">
              <w:t>a consumer reporting agency</w:t>
            </w:r>
            <w:r>
              <w:t>.</w:t>
            </w:r>
          </w:p>
        </w:tc>
      </w:tr>
      <w:tr w:rsidR="00400311" w14:paraId="12368F7A" w14:textId="77777777" w:rsidTr="00345119">
        <w:tc>
          <w:tcPr>
            <w:tcW w:w="9576" w:type="dxa"/>
          </w:tcPr>
          <w:p w14:paraId="27B97E7F" w14:textId="77777777" w:rsidR="00F80941" w:rsidRPr="009C1E9A" w:rsidRDefault="00F80941" w:rsidP="00F80941">
            <w:pPr>
              <w:rPr>
                <w:b/>
                <w:u w:val="single"/>
              </w:rPr>
            </w:pPr>
          </w:p>
        </w:tc>
      </w:tr>
      <w:tr w:rsidR="00400311" w14:paraId="5656BFEA" w14:textId="77777777" w:rsidTr="00345119">
        <w:tc>
          <w:tcPr>
            <w:tcW w:w="9576" w:type="dxa"/>
          </w:tcPr>
          <w:p w14:paraId="522AFDC8" w14:textId="77777777" w:rsidR="00F80941" w:rsidRPr="00F80941" w:rsidRDefault="00F80941" w:rsidP="00F80941">
            <w:pPr>
              <w:jc w:val="both"/>
            </w:pPr>
          </w:p>
        </w:tc>
      </w:tr>
    </w:tbl>
    <w:p w14:paraId="590D612D" w14:textId="77777777" w:rsidR="008423E4" w:rsidRPr="00BE0E75" w:rsidRDefault="008423E4" w:rsidP="00F80941">
      <w:pPr>
        <w:jc w:val="both"/>
        <w:rPr>
          <w:rFonts w:ascii="Arial" w:hAnsi="Arial"/>
          <w:sz w:val="16"/>
          <w:szCs w:val="16"/>
        </w:rPr>
      </w:pPr>
    </w:p>
    <w:p w14:paraId="7155EE23" w14:textId="77777777" w:rsidR="004108C3" w:rsidRPr="008423E4" w:rsidRDefault="004108C3" w:rsidP="00F8094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E7E7" w14:textId="77777777" w:rsidR="00000000" w:rsidRDefault="00A77004">
      <w:r>
        <w:separator/>
      </w:r>
    </w:p>
  </w:endnote>
  <w:endnote w:type="continuationSeparator" w:id="0">
    <w:p w14:paraId="5D832FC4" w14:textId="77777777" w:rsidR="00000000" w:rsidRDefault="00A7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D6C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00311" w14:paraId="4C1BBF50" w14:textId="77777777" w:rsidTr="009C1E9A">
      <w:trPr>
        <w:cantSplit/>
      </w:trPr>
      <w:tc>
        <w:tcPr>
          <w:tcW w:w="0" w:type="pct"/>
        </w:tcPr>
        <w:p w14:paraId="0CEF7A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2DFA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FDE22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DAB5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F7CA6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0311" w14:paraId="7EC97658" w14:textId="77777777" w:rsidTr="009C1E9A">
      <w:trPr>
        <w:cantSplit/>
      </w:trPr>
      <w:tc>
        <w:tcPr>
          <w:tcW w:w="0" w:type="pct"/>
        </w:tcPr>
        <w:p w14:paraId="5F87404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B97998" w14:textId="77777777" w:rsidR="00EC379B" w:rsidRPr="009C1E9A" w:rsidRDefault="00A7700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27320-D</w:t>
          </w:r>
        </w:p>
      </w:tc>
      <w:tc>
        <w:tcPr>
          <w:tcW w:w="2453" w:type="pct"/>
        </w:tcPr>
        <w:p w14:paraId="007AB6F5" w14:textId="41D09860" w:rsidR="00EC379B" w:rsidRDefault="00A7700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80941">
            <w:t>23.121.804</w:t>
          </w:r>
          <w:r>
            <w:fldChar w:fldCharType="end"/>
          </w:r>
        </w:p>
      </w:tc>
    </w:tr>
    <w:tr w:rsidR="00400311" w14:paraId="4800A2BE" w14:textId="77777777" w:rsidTr="009C1E9A">
      <w:trPr>
        <w:cantSplit/>
      </w:trPr>
      <w:tc>
        <w:tcPr>
          <w:tcW w:w="0" w:type="pct"/>
        </w:tcPr>
        <w:p w14:paraId="11CE07A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8087673" w14:textId="77777777" w:rsidR="00EC379B" w:rsidRPr="009C1E9A" w:rsidRDefault="00A7700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21600</w:t>
          </w:r>
        </w:p>
      </w:tc>
      <w:tc>
        <w:tcPr>
          <w:tcW w:w="2453" w:type="pct"/>
        </w:tcPr>
        <w:p w14:paraId="67B4D90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FF653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0311" w14:paraId="105EBE7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7035B4" w14:textId="77777777" w:rsidR="00EC379B" w:rsidRDefault="00A7700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AC91C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DBEBBE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9AD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290D" w14:textId="77777777" w:rsidR="00000000" w:rsidRDefault="00A77004">
      <w:r>
        <w:separator/>
      </w:r>
    </w:p>
  </w:footnote>
  <w:footnote w:type="continuationSeparator" w:id="0">
    <w:p w14:paraId="320EE662" w14:textId="77777777" w:rsidR="00000000" w:rsidRDefault="00A7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188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603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0A7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7A7"/>
    <w:multiLevelType w:val="hybridMultilevel"/>
    <w:tmpl w:val="A79CB250"/>
    <w:lvl w:ilvl="0" w:tplc="9F529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CE9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B6D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E6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EA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CB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6E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4A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23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8112B"/>
    <w:multiLevelType w:val="hybridMultilevel"/>
    <w:tmpl w:val="6C78AC34"/>
    <w:lvl w:ilvl="0" w:tplc="278817A8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DA00E3D6" w:tentative="1">
      <w:start w:val="1"/>
      <w:numFmt w:val="lowerLetter"/>
      <w:lvlText w:val="%2."/>
      <w:lvlJc w:val="left"/>
      <w:pPr>
        <w:ind w:left="1440" w:hanging="360"/>
      </w:pPr>
    </w:lvl>
    <w:lvl w:ilvl="2" w:tplc="11A07EC2" w:tentative="1">
      <w:start w:val="1"/>
      <w:numFmt w:val="lowerRoman"/>
      <w:lvlText w:val="%3."/>
      <w:lvlJc w:val="right"/>
      <w:pPr>
        <w:ind w:left="2160" w:hanging="180"/>
      </w:pPr>
    </w:lvl>
    <w:lvl w:ilvl="3" w:tplc="453C6476" w:tentative="1">
      <w:start w:val="1"/>
      <w:numFmt w:val="decimal"/>
      <w:lvlText w:val="%4."/>
      <w:lvlJc w:val="left"/>
      <w:pPr>
        <w:ind w:left="2880" w:hanging="360"/>
      </w:pPr>
    </w:lvl>
    <w:lvl w:ilvl="4" w:tplc="5C9C2C32" w:tentative="1">
      <w:start w:val="1"/>
      <w:numFmt w:val="lowerLetter"/>
      <w:lvlText w:val="%5."/>
      <w:lvlJc w:val="left"/>
      <w:pPr>
        <w:ind w:left="3600" w:hanging="360"/>
      </w:pPr>
    </w:lvl>
    <w:lvl w:ilvl="5" w:tplc="0200F3B4" w:tentative="1">
      <w:start w:val="1"/>
      <w:numFmt w:val="lowerRoman"/>
      <w:lvlText w:val="%6."/>
      <w:lvlJc w:val="right"/>
      <w:pPr>
        <w:ind w:left="4320" w:hanging="180"/>
      </w:pPr>
    </w:lvl>
    <w:lvl w:ilvl="6" w:tplc="D9BECCB8" w:tentative="1">
      <w:start w:val="1"/>
      <w:numFmt w:val="decimal"/>
      <w:lvlText w:val="%7."/>
      <w:lvlJc w:val="left"/>
      <w:pPr>
        <w:ind w:left="5040" w:hanging="360"/>
      </w:pPr>
    </w:lvl>
    <w:lvl w:ilvl="7" w:tplc="2690E068" w:tentative="1">
      <w:start w:val="1"/>
      <w:numFmt w:val="lowerLetter"/>
      <w:lvlText w:val="%8."/>
      <w:lvlJc w:val="left"/>
      <w:pPr>
        <w:ind w:left="5760" w:hanging="360"/>
      </w:pPr>
    </w:lvl>
    <w:lvl w:ilvl="8" w:tplc="A74A2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B6EED"/>
    <w:multiLevelType w:val="hybridMultilevel"/>
    <w:tmpl w:val="B024F784"/>
    <w:lvl w:ilvl="0" w:tplc="99328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43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82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06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E8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4F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C4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47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CE8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30016">
    <w:abstractNumId w:val="2"/>
  </w:num>
  <w:num w:numId="2" w16cid:durableId="926621256">
    <w:abstractNumId w:val="0"/>
  </w:num>
  <w:num w:numId="3" w16cid:durableId="108823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4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03D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055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1A0"/>
    <w:rsid w:val="003C664C"/>
    <w:rsid w:val="003D726D"/>
    <w:rsid w:val="003E0875"/>
    <w:rsid w:val="003E0BB8"/>
    <w:rsid w:val="003E6CB0"/>
    <w:rsid w:val="003F1F5E"/>
    <w:rsid w:val="003F286A"/>
    <w:rsid w:val="003F77F8"/>
    <w:rsid w:val="00400311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4F65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711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E1D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1C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004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18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CE6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B3C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941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C42DFF-253F-49BB-9796-BD7092D4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809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0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094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0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0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4213</Characters>
  <Application>Microsoft Office Word</Application>
  <DocSecurity>4</DocSecurity>
  <Lines>93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27320</dc:subject>
  <dc:creator>State of Texas</dc:creator>
  <dc:description>HB 1450 by Collier-(H)Business &amp; Industry (Substitute Document Number: 88R 21600)</dc:description>
  <cp:lastModifiedBy>Damian Duarte</cp:lastModifiedBy>
  <cp:revision>2</cp:revision>
  <cp:lastPrinted>2003-11-26T17:21:00Z</cp:lastPrinted>
  <dcterms:created xsi:type="dcterms:W3CDTF">2023-05-05T01:56:00Z</dcterms:created>
  <dcterms:modified xsi:type="dcterms:W3CDTF">2023-05-05T01:56:00Z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23.121.804</vt:lpwstr>
  </property>
</Properties>
</file>