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C2B" w:rsidRDefault="00593C2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FBC5867E3FB44BB8699332B0BC422A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93C2B" w:rsidRPr="00585C31" w:rsidRDefault="00593C2B" w:rsidP="000F1DF9">
      <w:pPr>
        <w:spacing w:after="0" w:line="240" w:lineRule="auto"/>
        <w:rPr>
          <w:rFonts w:cs="Times New Roman"/>
          <w:szCs w:val="24"/>
        </w:rPr>
      </w:pPr>
    </w:p>
    <w:p w:rsidR="00593C2B" w:rsidRPr="00585C31" w:rsidRDefault="00593C2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93C2B" w:rsidTr="000F1DF9">
        <w:tc>
          <w:tcPr>
            <w:tcW w:w="2718" w:type="dxa"/>
          </w:tcPr>
          <w:p w:rsidR="00593C2B" w:rsidRPr="005C2A78" w:rsidRDefault="00593C2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96F82F0F7B142BB811F3C5D39CD420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93C2B" w:rsidRPr="00FF6471" w:rsidRDefault="00593C2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41F5B4120404C9EAE8EBFF7F228F2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1486</w:t>
                </w:r>
              </w:sdtContent>
            </w:sdt>
          </w:p>
        </w:tc>
      </w:tr>
      <w:tr w:rsidR="00593C2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D2D35B5E12D427BBB1264FE43A4981E"/>
            </w:placeholder>
          </w:sdtPr>
          <w:sdtContent>
            <w:tc>
              <w:tcPr>
                <w:tcW w:w="2718" w:type="dxa"/>
              </w:tcPr>
              <w:p w:rsidR="00593C2B" w:rsidRPr="000F1DF9" w:rsidRDefault="00593C2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88R5869 KBB-D</w:t>
                </w:r>
              </w:p>
            </w:tc>
          </w:sdtContent>
        </w:sdt>
        <w:tc>
          <w:tcPr>
            <w:tcW w:w="6858" w:type="dxa"/>
          </w:tcPr>
          <w:p w:rsidR="00593C2B" w:rsidRPr="005C2A78" w:rsidRDefault="00593C2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7FDA7BC1E3A40C8B5F7A3CE893B1BD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D991F8A80784E3ABCC3205B2B1F1A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Gerdes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E1736C8384C448D88E7834A8C933D1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(Whitmire)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F5C10096D8A445087746C5AE21E047E"/>
                </w:placeholder>
                <w:showingPlcHdr/>
              </w:sdtPr>
              <w:sdtContent/>
            </w:sdt>
          </w:p>
        </w:tc>
      </w:tr>
      <w:tr w:rsidR="00593C2B" w:rsidTr="000F1DF9">
        <w:tc>
          <w:tcPr>
            <w:tcW w:w="2718" w:type="dxa"/>
          </w:tcPr>
          <w:p w:rsidR="00593C2B" w:rsidRPr="00BC7495" w:rsidRDefault="00593C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BCDF128290C42E3B644D36822B157EF"/>
            </w:placeholder>
          </w:sdtPr>
          <w:sdtContent>
            <w:tc>
              <w:tcPr>
                <w:tcW w:w="6858" w:type="dxa"/>
              </w:tcPr>
              <w:p w:rsidR="00593C2B" w:rsidRPr="00FF6471" w:rsidRDefault="00593C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593C2B" w:rsidTr="000F1DF9">
        <w:tc>
          <w:tcPr>
            <w:tcW w:w="2718" w:type="dxa"/>
          </w:tcPr>
          <w:p w:rsidR="00593C2B" w:rsidRPr="00BC7495" w:rsidRDefault="00593C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81D90BDD4F145A7A5C1F26409183FDD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93C2B" w:rsidRPr="00FF6471" w:rsidRDefault="00593C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593C2B" w:rsidTr="000F1DF9">
        <w:tc>
          <w:tcPr>
            <w:tcW w:w="2718" w:type="dxa"/>
          </w:tcPr>
          <w:p w:rsidR="00593C2B" w:rsidRPr="00BC7495" w:rsidRDefault="00593C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DDBDAB3F26341D3A50782E8CFA69260"/>
            </w:placeholder>
          </w:sdtPr>
          <w:sdtContent>
            <w:tc>
              <w:tcPr>
                <w:tcW w:w="6858" w:type="dxa"/>
              </w:tcPr>
              <w:p w:rsidR="00593C2B" w:rsidRPr="00FF6471" w:rsidRDefault="00593C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93C2B" w:rsidRPr="00FF6471" w:rsidRDefault="00593C2B" w:rsidP="000F1DF9">
      <w:pPr>
        <w:spacing w:after="0" w:line="240" w:lineRule="auto"/>
        <w:rPr>
          <w:rFonts w:cs="Times New Roman"/>
          <w:szCs w:val="24"/>
        </w:rPr>
      </w:pPr>
    </w:p>
    <w:p w:rsidR="00593C2B" w:rsidRPr="00FF6471" w:rsidRDefault="00593C2B" w:rsidP="000F1DF9">
      <w:pPr>
        <w:spacing w:after="0" w:line="240" w:lineRule="auto"/>
        <w:rPr>
          <w:rFonts w:cs="Times New Roman"/>
          <w:szCs w:val="24"/>
        </w:rPr>
      </w:pPr>
    </w:p>
    <w:p w:rsidR="00593C2B" w:rsidRPr="00FF6471" w:rsidRDefault="00593C2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FBC267F897444F698C891FDAD7D85F7"/>
        </w:placeholder>
      </w:sdtPr>
      <w:sdtContent>
        <w:p w:rsidR="00593C2B" w:rsidRDefault="00593C2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4BF4436A1F0497CA8E6424AA2CE3F45"/>
        </w:placeholder>
      </w:sdtPr>
      <w:sdtContent>
        <w:p w:rsidR="00593C2B" w:rsidRPr="00503349" w:rsidRDefault="00593C2B" w:rsidP="00593C2B">
          <w:pPr>
            <w:pStyle w:val="NormalWeb"/>
            <w:spacing w:before="0" w:beforeAutospacing="0" w:after="0" w:afterAutospacing="0"/>
            <w:jc w:val="both"/>
            <w:divId w:val="554050712"/>
            <w:rPr>
              <w:rFonts w:eastAsia="Times New Roman"/>
              <w:bCs/>
            </w:rPr>
          </w:pPr>
          <w:r w:rsidRPr="00503349">
            <w:br/>
            <w:t>The 87th Legislature enacted S</w:t>
          </w:r>
          <w:r>
            <w:t>.</w:t>
          </w:r>
          <w:r w:rsidRPr="00503349">
            <w:t>B</w:t>
          </w:r>
          <w:r>
            <w:t xml:space="preserve">. </w:t>
          </w:r>
          <w:r w:rsidRPr="00503349">
            <w:t>1359</w:t>
          </w:r>
          <w:r>
            <w:t>, which requires</w:t>
          </w:r>
          <w:r w:rsidRPr="00503349">
            <w:t xml:space="preserve"> law enforcement agencies to develop and adopt a mental health leave policy for peace officers who experienced a traumatic event while on duty. However, telecommunicators were not included among the officers required to be covered by those policies, despite the fact that telecommunicators also experience traumatic events.</w:t>
          </w:r>
        </w:p>
        <w:p w:rsidR="00593C2B" w:rsidRPr="00503349" w:rsidRDefault="00593C2B" w:rsidP="00593C2B">
          <w:pPr>
            <w:pStyle w:val="NormalWeb"/>
            <w:spacing w:before="0" w:beforeAutospacing="0" w:after="0" w:afterAutospacing="0"/>
            <w:jc w:val="both"/>
            <w:divId w:val="554050712"/>
          </w:pPr>
          <w:r w:rsidRPr="00503349">
            <w:br/>
            <w:t>Law enforcement agencies should include telecommunicators in their mental health leave policies since telecommunicators also experience traumatic event while on duty.</w:t>
          </w:r>
          <w:r>
            <w:tab/>
          </w:r>
          <w:r w:rsidRPr="00503349">
            <w:br/>
          </w:r>
          <w:r w:rsidRPr="00503349">
            <w:br/>
            <w:t>H.B. 1486 would require a law enforcement agency, state agency, or political subdivision that employs a full-time telecommunicator to develop and adopt a policy allowing full-time telecommunicators who experience a traumatic event in the scope of that employment to use mental health leave. The bill subjects a telecommunicator leave policy to the requirements and content provisions of a mental health leave policy adopted by the law enforcement or employing agency of the peace officers.</w:t>
          </w:r>
        </w:p>
        <w:p w:rsidR="00593C2B" w:rsidRPr="00D70925" w:rsidRDefault="00593C2B" w:rsidP="00593C2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93C2B" w:rsidRDefault="00593C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1486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adoption of a mental health leave policy for certain telecommunicators.</w:t>
      </w:r>
    </w:p>
    <w:p w:rsidR="00593C2B" w:rsidRPr="00DF59D0" w:rsidRDefault="00593C2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3C2B" w:rsidRPr="005C2A78" w:rsidRDefault="00593C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D8D7ADA6D704523B2A42875C8B621B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93C2B" w:rsidRPr="006529C4" w:rsidRDefault="00593C2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93C2B" w:rsidRDefault="00593C2B" w:rsidP="0050334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93C2B" w:rsidRPr="006529C4" w:rsidRDefault="00593C2B" w:rsidP="00503349">
      <w:pPr>
        <w:spacing w:after="0" w:line="240" w:lineRule="auto"/>
        <w:jc w:val="both"/>
        <w:rPr>
          <w:rFonts w:cs="Times New Roman"/>
          <w:szCs w:val="24"/>
        </w:rPr>
      </w:pPr>
    </w:p>
    <w:p w:rsidR="00593C2B" w:rsidRPr="005C2A78" w:rsidRDefault="00593C2B" w:rsidP="00F81AC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AFB833B86074D788E92A9824E14774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93C2B" w:rsidRPr="005C2A78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DF59D0">
        <w:t xml:space="preserve"> </w:t>
      </w:r>
      <w:r>
        <w:t>Amends S</w:t>
      </w:r>
      <w:r w:rsidRPr="00DF59D0">
        <w:rPr>
          <w:rFonts w:eastAsia="Times New Roman" w:cs="Times New Roman"/>
          <w:szCs w:val="24"/>
        </w:rPr>
        <w:t>ection 614.015, Government Code, as follows:</w:t>
      </w:r>
    </w:p>
    <w:p w:rsidR="00593C2B" w:rsidRPr="00DF59D0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3C2B" w:rsidRDefault="00593C2B" w:rsidP="00F81AC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 xml:space="preserve">Sec. 614.015. </w:t>
      </w:r>
      <w:r>
        <w:rPr>
          <w:rFonts w:eastAsia="Times New Roman" w:cs="Times New Roman"/>
          <w:szCs w:val="24"/>
        </w:rPr>
        <w:t xml:space="preserve">New heading: </w:t>
      </w:r>
      <w:r w:rsidRPr="00DF59D0">
        <w:rPr>
          <w:rFonts w:eastAsia="Times New Roman" w:cs="Times New Roman"/>
          <w:szCs w:val="24"/>
        </w:rPr>
        <w:t>MENTAL HEALTH LEAVE FOR PEACE OFFICERS AND TELECOMMUNICATORS. (a)</w:t>
      </w:r>
      <w:r>
        <w:rPr>
          <w:rFonts w:eastAsia="Times New Roman" w:cs="Times New Roman"/>
          <w:szCs w:val="24"/>
        </w:rPr>
        <w:t xml:space="preserve"> Defines "telecommunicator" and makes a nonsubstantive change.</w:t>
      </w:r>
    </w:p>
    <w:p w:rsidR="00593C2B" w:rsidRDefault="00593C2B" w:rsidP="00F81AC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93C2B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e</w:t>
      </w:r>
      <w:r w:rsidRPr="00DF59D0">
        <w:rPr>
          <w:rFonts w:eastAsia="Times New Roman" w:cs="Times New Roman"/>
          <w:szCs w:val="24"/>
        </w:rPr>
        <w:t xml:space="preserve">ach law enforcement agency, and each agency of the state or of a political subdivision of the state that employs a full-time telecommunicator, </w:t>
      </w:r>
      <w:r>
        <w:rPr>
          <w:rFonts w:eastAsia="Times New Roman" w:cs="Times New Roman"/>
          <w:szCs w:val="24"/>
        </w:rPr>
        <w:t>to</w:t>
      </w:r>
      <w:r w:rsidRPr="00DF59D0">
        <w:rPr>
          <w:rFonts w:eastAsia="Times New Roman" w:cs="Times New Roman"/>
          <w:szCs w:val="24"/>
        </w:rPr>
        <w:t xml:space="preserve"> develop and adopt a policy allowing the use of mental health leave by the peace officers and full-time telecommunicators, as applicable, employed by the agency who experience a traumatic event in the scope of that employment.</w:t>
      </w:r>
    </w:p>
    <w:p w:rsidR="00593C2B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that a</w:t>
      </w:r>
      <w:r w:rsidRPr="00DF59D0">
        <w:rPr>
          <w:rFonts w:eastAsia="Times New Roman" w:cs="Times New Roman"/>
          <w:szCs w:val="24"/>
        </w:rPr>
        <w:t xml:space="preserve"> mental health leave policy adopted under this section:</w:t>
      </w:r>
    </w:p>
    <w:p w:rsidR="00593C2B" w:rsidRPr="00DF59D0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 xml:space="preserve">(1) provide clear and objective guidelines establishing the circumstances under which a telecommunicator is granted and </w:t>
      </w:r>
      <w:r>
        <w:rPr>
          <w:rFonts w:eastAsia="Times New Roman" w:cs="Times New Roman"/>
          <w:szCs w:val="24"/>
        </w:rPr>
        <w:t>is authorized to</w:t>
      </w:r>
      <w:r w:rsidRPr="00DF59D0">
        <w:rPr>
          <w:rFonts w:eastAsia="Times New Roman" w:cs="Times New Roman"/>
          <w:szCs w:val="24"/>
        </w:rPr>
        <w:t xml:space="preserve"> use mental health leave;</w:t>
      </w: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 xml:space="preserve">(2) </w:t>
      </w:r>
      <w:r>
        <w:rPr>
          <w:rFonts w:eastAsia="Times New Roman" w:cs="Times New Roman"/>
          <w:szCs w:val="24"/>
        </w:rPr>
        <w:t>e</w:t>
      </w:r>
      <w:r w:rsidRPr="00DF59D0">
        <w:rPr>
          <w:rFonts w:eastAsia="Times New Roman" w:cs="Times New Roman"/>
          <w:szCs w:val="24"/>
        </w:rPr>
        <w:t>ntitle a telecommunicator to mental health leave without a deduction in salary or other compensation;</w:t>
      </w: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>(3) enumerate the number of mental health leave days available to a telecommunicator; and</w:t>
      </w:r>
    </w:p>
    <w:p w:rsidR="00593C2B" w:rsidRPr="00DF59D0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93C2B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>(4) detail the level of anonymity for a telecommunicator who takes mental health leave.</w:t>
      </w:r>
    </w:p>
    <w:p w:rsidR="00593C2B" w:rsidRDefault="00593C2B" w:rsidP="00F81AC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93C2B" w:rsidRPr="00DF59D0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Makes nonsubstantive changes.</w:t>
      </w:r>
    </w:p>
    <w:p w:rsidR="00593C2B" w:rsidRPr="00DF59D0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93C2B" w:rsidRPr="005C2A78" w:rsidRDefault="00593C2B" w:rsidP="00F81AC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F59D0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Authorizes a</w:t>
      </w:r>
      <w:r w:rsidRPr="00DF59D0">
        <w:rPr>
          <w:rFonts w:eastAsia="Times New Roman" w:cs="Times New Roman"/>
          <w:szCs w:val="24"/>
        </w:rPr>
        <w:t xml:space="preserve"> mental health leave policy adopted under this section </w:t>
      </w:r>
      <w:r>
        <w:rPr>
          <w:rFonts w:eastAsia="Times New Roman" w:cs="Times New Roman"/>
          <w:szCs w:val="24"/>
        </w:rPr>
        <w:t>to</w:t>
      </w:r>
      <w:r w:rsidRPr="00DF59D0">
        <w:rPr>
          <w:rFonts w:eastAsia="Times New Roman" w:cs="Times New Roman"/>
          <w:szCs w:val="24"/>
        </w:rPr>
        <w:t xml:space="preserve"> provide a list of mental health services available to telecommunicators in the area of the law enforcement or employing agency.</w:t>
      </w:r>
      <w:r>
        <w:rPr>
          <w:rFonts w:eastAsia="Times New Roman" w:cs="Times New Roman"/>
          <w:szCs w:val="24"/>
        </w:rPr>
        <w:t xml:space="preserve"> Makes a nonsubstantive change.</w:t>
      </w:r>
    </w:p>
    <w:p w:rsidR="00593C2B" w:rsidRPr="005C2A78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3C2B" w:rsidRPr="005C2A78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DF59D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Requires </w:t>
      </w:r>
      <w:r w:rsidRPr="00DF59D0">
        <w:rPr>
          <w:rFonts w:eastAsia="Times New Roman" w:cs="Times New Roman"/>
          <w:szCs w:val="24"/>
        </w:rPr>
        <w:t xml:space="preserve">each agency required to adopt a mental health leave policy under Section 614.015, Government Code, as amended by this Act, </w:t>
      </w:r>
      <w:r>
        <w:rPr>
          <w:rFonts w:eastAsia="Times New Roman" w:cs="Times New Roman"/>
          <w:szCs w:val="24"/>
        </w:rPr>
        <w:t>a</w:t>
      </w:r>
      <w:r w:rsidRPr="00DF59D0">
        <w:rPr>
          <w:rFonts w:eastAsia="Times New Roman" w:cs="Times New Roman"/>
          <w:szCs w:val="24"/>
        </w:rPr>
        <w:t xml:space="preserve">s soon as practicable after the effective date of this Act, </w:t>
      </w:r>
      <w:r>
        <w:rPr>
          <w:rFonts w:eastAsia="Times New Roman" w:cs="Times New Roman"/>
          <w:szCs w:val="24"/>
        </w:rPr>
        <w:t>to</w:t>
      </w:r>
      <w:r w:rsidRPr="00DF59D0">
        <w:rPr>
          <w:rFonts w:eastAsia="Times New Roman" w:cs="Times New Roman"/>
          <w:szCs w:val="24"/>
        </w:rPr>
        <w:t xml:space="preserve"> adopt a mental health leave policy as prescribed by that section.</w:t>
      </w:r>
    </w:p>
    <w:p w:rsidR="00593C2B" w:rsidRPr="005C2A78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3C2B" w:rsidRPr="00C8671F" w:rsidRDefault="00593C2B" w:rsidP="00F81AC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593C2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2E7" w:rsidRDefault="008842E7" w:rsidP="000F1DF9">
      <w:pPr>
        <w:spacing w:after="0" w:line="240" w:lineRule="auto"/>
      </w:pPr>
      <w:r>
        <w:separator/>
      </w:r>
    </w:p>
  </w:endnote>
  <w:endnote w:type="continuationSeparator" w:id="0">
    <w:p w:rsidR="008842E7" w:rsidRDefault="008842E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842E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93C2B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93C2B">
                <w:rPr>
                  <w:sz w:val="20"/>
                  <w:szCs w:val="20"/>
                </w:rPr>
                <w:t>H.B. 1486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93C2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842E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2E7" w:rsidRDefault="008842E7" w:rsidP="000F1DF9">
      <w:pPr>
        <w:spacing w:after="0" w:line="240" w:lineRule="auto"/>
      </w:pPr>
      <w:r>
        <w:separator/>
      </w:r>
    </w:p>
  </w:footnote>
  <w:footnote w:type="continuationSeparator" w:id="0">
    <w:p w:rsidR="008842E7" w:rsidRDefault="008842E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93C2B"/>
    <w:rsid w:val="005A7918"/>
    <w:rsid w:val="005E0AC7"/>
    <w:rsid w:val="005F46D7"/>
    <w:rsid w:val="00605CA0"/>
    <w:rsid w:val="006529C4"/>
    <w:rsid w:val="006D756B"/>
    <w:rsid w:val="00774EC7"/>
    <w:rsid w:val="00833061"/>
    <w:rsid w:val="008842E7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4481D"/>
  <w15:docId w15:val="{B683CF06-BD6B-479C-873F-34A37C9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3C2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FBC5867E3FB44BB8699332B0BC4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ADC3-9302-413C-BFC6-720461536EA0}"/>
      </w:docPartPr>
      <w:docPartBody>
        <w:p w:rsidR="00000000" w:rsidRDefault="00A0392C"/>
      </w:docPartBody>
    </w:docPart>
    <w:docPart>
      <w:docPartPr>
        <w:name w:val="996F82F0F7B142BB811F3C5D39CD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E76-EBE3-4E5F-8F40-9929A230613D}"/>
      </w:docPartPr>
      <w:docPartBody>
        <w:p w:rsidR="00000000" w:rsidRDefault="00A0392C"/>
      </w:docPartBody>
    </w:docPart>
    <w:docPart>
      <w:docPartPr>
        <w:name w:val="041F5B4120404C9EAE8EBFF7F228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2EF2-6973-4643-85F5-95D5F7AE9617}"/>
      </w:docPartPr>
      <w:docPartBody>
        <w:p w:rsidR="00000000" w:rsidRDefault="00A0392C"/>
      </w:docPartBody>
    </w:docPart>
    <w:docPart>
      <w:docPartPr>
        <w:name w:val="8D2D35B5E12D427BBB1264FE43A4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8E16-AC2C-4A3E-A625-24F0A5F17339}"/>
      </w:docPartPr>
      <w:docPartBody>
        <w:p w:rsidR="00000000" w:rsidRDefault="00A0392C"/>
      </w:docPartBody>
    </w:docPart>
    <w:docPart>
      <w:docPartPr>
        <w:name w:val="37FDA7BC1E3A40C8B5F7A3CE893B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76DC-8E17-44DC-A0C0-9B3E520054F0}"/>
      </w:docPartPr>
      <w:docPartBody>
        <w:p w:rsidR="00000000" w:rsidRDefault="00A0392C"/>
      </w:docPartBody>
    </w:docPart>
    <w:docPart>
      <w:docPartPr>
        <w:name w:val="2D991F8A80784E3ABCC3205B2B1F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1FAB-C7BA-4604-AE42-043AE7661F77}"/>
      </w:docPartPr>
      <w:docPartBody>
        <w:p w:rsidR="00000000" w:rsidRDefault="00A0392C"/>
      </w:docPartBody>
    </w:docPart>
    <w:docPart>
      <w:docPartPr>
        <w:name w:val="BE1736C8384C448D88E7834A8C93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64FB-CF71-4C29-9F5F-38A514260CA6}"/>
      </w:docPartPr>
      <w:docPartBody>
        <w:p w:rsidR="00000000" w:rsidRDefault="00A0392C"/>
      </w:docPartBody>
    </w:docPart>
    <w:docPart>
      <w:docPartPr>
        <w:name w:val="5F5C10096D8A445087746C5AE21E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2A4B-66EE-4F7F-9F84-EDD140A8AB4D}"/>
      </w:docPartPr>
      <w:docPartBody>
        <w:p w:rsidR="00000000" w:rsidRDefault="00A0392C"/>
      </w:docPartBody>
    </w:docPart>
    <w:docPart>
      <w:docPartPr>
        <w:name w:val="BBCDF128290C42E3B644D36822B1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3E7B-564A-4B21-AA33-6543D2E4A061}"/>
      </w:docPartPr>
      <w:docPartBody>
        <w:p w:rsidR="00000000" w:rsidRDefault="00A0392C"/>
      </w:docPartBody>
    </w:docPart>
    <w:docPart>
      <w:docPartPr>
        <w:name w:val="B81D90BDD4F145A7A5C1F2640918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297E-E54B-443B-9FB1-B5C23378D090}"/>
      </w:docPartPr>
      <w:docPartBody>
        <w:p w:rsidR="00000000" w:rsidRDefault="000B661E" w:rsidP="000B661E">
          <w:pPr>
            <w:pStyle w:val="B81D90BDD4F145A7A5C1F26409183FD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DDBDAB3F26341D3A50782E8CFA6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8510-1666-4FCA-BF78-41C8DD0DA46B}"/>
      </w:docPartPr>
      <w:docPartBody>
        <w:p w:rsidR="00000000" w:rsidRDefault="00A0392C"/>
      </w:docPartBody>
    </w:docPart>
    <w:docPart>
      <w:docPartPr>
        <w:name w:val="5FBC267F897444F698C891FDAD7D8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56CF-8EC5-4CF8-B815-0035C64E7911}"/>
      </w:docPartPr>
      <w:docPartBody>
        <w:p w:rsidR="00000000" w:rsidRDefault="00A0392C"/>
      </w:docPartBody>
    </w:docPart>
    <w:docPart>
      <w:docPartPr>
        <w:name w:val="C4BF4436A1F0497CA8E6424AA2C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A471-273E-41F7-882C-49B73FDF10A2}"/>
      </w:docPartPr>
      <w:docPartBody>
        <w:p w:rsidR="00000000" w:rsidRDefault="000B661E" w:rsidP="000B661E">
          <w:pPr>
            <w:pStyle w:val="C4BF4436A1F0497CA8E6424AA2CE3F4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D8D7ADA6D704523B2A42875C8B6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29476-9A2A-4D10-9E42-6616168E92DB}"/>
      </w:docPartPr>
      <w:docPartBody>
        <w:p w:rsidR="00000000" w:rsidRDefault="00A0392C"/>
      </w:docPartBody>
    </w:docPart>
    <w:docPart>
      <w:docPartPr>
        <w:name w:val="7AFB833B86074D788E92A9824E14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1C96-7118-450F-81F1-401B770591C8}"/>
      </w:docPartPr>
      <w:docPartBody>
        <w:p w:rsidR="00000000" w:rsidRDefault="00A039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B661E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0392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61E"/>
    <w:rPr>
      <w:color w:val="808080"/>
    </w:rPr>
  </w:style>
  <w:style w:type="paragraph" w:customStyle="1" w:styleId="B81D90BDD4F145A7A5C1F26409183FDD">
    <w:name w:val="B81D90BDD4F145A7A5C1F26409183FDD"/>
    <w:rsid w:val="000B661E"/>
    <w:pPr>
      <w:spacing w:after="160" w:line="259" w:lineRule="auto"/>
    </w:pPr>
  </w:style>
  <w:style w:type="paragraph" w:customStyle="1" w:styleId="C4BF4436A1F0497CA8E6424AA2CE3F45">
    <w:name w:val="C4BF4436A1F0497CA8E6424AA2CE3F45"/>
    <w:rsid w:val="000B661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485</Words>
  <Characters>2771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2023-05-18T19:02:00Z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