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E46E4" w14:paraId="2D2D905B" w14:textId="77777777" w:rsidTr="00345119">
        <w:tc>
          <w:tcPr>
            <w:tcW w:w="9576" w:type="dxa"/>
            <w:noWrap/>
          </w:tcPr>
          <w:p w14:paraId="0944BDAF" w14:textId="77777777" w:rsidR="008423E4" w:rsidRPr="0022177D" w:rsidRDefault="00C40FB4" w:rsidP="00E7527F">
            <w:pPr>
              <w:pStyle w:val="Heading1"/>
            </w:pPr>
            <w:r w:rsidRPr="00631897">
              <w:t>BILL ANALYSIS</w:t>
            </w:r>
          </w:p>
        </w:tc>
      </w:tr>
    </w:tbl>
    <w:p w14:paraId="4807CC39" w14:textId="77777777" w:rsidR="008423E4" w:rsidRPr="0022177D" w:rsidRDefault="008423E4" w:rsidP="00E7527F">
      <w:pPr>
        <w:jc w:val="center"/>
      </w:pPr>
    </w:p>
    <w:p w14:paraId="6E328663" w14:textId="77777777" w:rsidR="008423E4" w:rsidRPr="00B31F0E" w:rsidRDefault="008423E4" w:rsidP="00E7527F"/>
    <w:p w14:paraId="235A8272" w14:textId="77777777" w:rsidR="008423E4" w:rsidRPr="00742794" w:rsidRDefault="008423E4" w:rsidP="00E7527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46E4" w14:paraId="763B8E26" w14:textId="77777777" w:rsidTr="00345119">
        <w:tc>
          <w:tcPr>
            <w:tcW w:w="9576" w:type="dxa"/>
          </w:tcPr>
          <w:p w14:paraId="624B1A44" w14:textId="14F23E5E" w:rsidR="008423E4" w:rsidRPr="00861995" w:rsidRDefault="00C40FB4" w:rsidP="00E7527F">
            <w:pPr>
              <w:jc w:val="right"/>
            </w:pPr>
            <w:r>
              <w:t>H.B. 1492</w:t>
            </w:r>
          </w:p>
        </w:tc>
      </w:tr>
      <w:tr w:rsidR="001E46E4" w14:paraId="72D42963" w14:textId="77777777" w:rsidTr="00345119">
        <w:tc>
          <w:tcPr>
            <w:tcW w:w="9576" w:type="dxa"/>
          </w:tcPr>
          <w:p w14:paraId="65C933C6" w14:textId="320AF73F" w:rsidR="008423E4" w:rsidRPr="00861995" w:rsidRDefault="00C40FB4" w:rsidP="00E7527F">
            <w:pPr>
              <w:jc w:val="right"/>
            </w:pPr>
            <w:r>
              <w:t xml:space="preserve">By: </w:t>
            </w:r>
            <w:r w:rsidR="00F5787A">
              <w:t>Ordaz</w:t>
            </w:r>
          </w:p>
        </w:tc>
      </w:tr>
      <w:tr w:rsidR="001E46E4" w14:paraId="78CD06C8" w14:textId="77777777" w:rsidTr="00345119">
        <w:tc>
          <w:tcPr>
            <w:tcW w:w="9576" w:type="dxa"/>
          </w:tcPr>
          <w:p w14:paraId="5044C1D6" w14:textId="7DFF20E1" w:rsidR="008423E4" w:rsidRPr="00861995" w:rsidRDefault="00C40FB4" w:rsidP="00E7527F">
            <w:pPr>
              <w:jc w:val="right"/>
            </w:pPr>
            <w:r>
              <w:t>Urban Affairs</w:t>
            </w:r>
          </w:p>
        </w:tc>
      </w:tr>
      <w:tr w:rsidR="001E46E4" w14:paraId="07B75DA4" w14:textId="77777777" w:rsidTr="00345119">
        <w:tc>
          <w:tcPr>
            <w:tcW w:w="9576" w:type="dxa"/>
          </w:tcPr>
          <w:p w14:paraId="6C8A10E7" w14:textId="4C821903" w:rsidR="008423E4" w:rsidRDefault="00C40FB4" w:rsidP="00E7527F">
            <w:pPr>
              <w:jc w:val="right"/>
            </w:pPr>
            <w:r>
              <w:t>Committee Report (Unamended)</w:t>
            </w:r>
          </w:p>
        </w:tc>
      </w:tr>
    </w:tbl>
    <w:p w14:paraId="20900976" w14:textId="77777777" w:rsidR="008423E4" w:rsidRDefault="008423E4" w:rsidP="00E7527F">
      <w:pPr>
        <w:tabs>
          <w:tab w:val="right" w:pos="9360"/>
        </w:tabs>
      </w:pPr>
    </w:p>
    <w:p w14:paraId="50C7C623" w14:textId="77777777" w:rsidR="008423E4" w:rsidRDefault="008423E4" w:rsidP="00E7527F"/>
    <w:p w14:paraId="1B09177E" w14:textId="77777777" w:rsidR="008423E4" w:rsidRDefault="008423E4" w:rsidP="00E7527F"/>
    <w:tbl>
      <w:tblPr>
        <w:tblW w:w="945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50"/>
      </w:tblGrid>
      <w:tr w:rsidR="001E46E4" w14:paraId="72525F52" w14:textId="77777777" w:rsidTr="00573BE6">
        <w:tc>
          <w:tcPr>
            <w:tcW w:w="9450" w:type="dxa"/>
          </w:tcPr>
          <w:p w14:paraId="46D6EA08" w14:textId="77777777" w:rsidR="008423E4" w:rsidRPr="00A8133F" w:rsidRDefault="00C40FB4" w:rsidP="00E7527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DD03A8" w14:textId="77777777" w:rsidR="008423E4" w:rsidRDefault="008423E4" w:rsidP="00E7527F"/>
          <w:p w14:paraId="62E21A32" w14:textId="6596C90C" w:rsidR="008423E4" w:rsidRDefault="00C40FB4" w:rsidP="00E7527F">
            <w:pPr>
              <w:pStyle w:val="Header"/>
              <w:jc w:val="both"/>
            </w:pPr>
            <w:r w:rsidRPr="00336E4F">
              <w:t xml:space="preserve">Local leaders in </w:t>
            </w:r>
            <w:r w:rsidR="001A1C51">
              <w:t xml:space="preserve">the City of </w:t>
            </w:r>
            <w:r w:rsidRPr="00336E4F">
              <w:t xml:space="preserve">El Paso have expressed interest in expanding </w:t>
            </w:r>
            <w:r w:rsidR="006D247C">
              <w:t xml:space="preserve">the </w:t>
            </w:r>
            <w:r w:rsidRPr="00336E4F">
              <w:t xml:space="preserve">economic development tools at their disposal to make the city more competitive in attracting businesses. </w:t>
            </w:r>
            <w:r w:rsidR="00BB141B">
              <w:t>While state law provides multiple avenues through which a city can convey land</w:t>
            </w:r>
            <w:r w:rsidR="008757ED">
              <w:t xml:space="preserve"> for these purposes</w:t>
            </w:r>
            <w:r w:rsidR="00BB141B">
              <w:t xml:space="preserve">, </w:t>
            </w:r>
            <w:r w:rsidR="00182BF4">
              <w:t>they often involve lengthy processes that tend to deter companies from operating in Texas. C</w:t>
            </w:r>
            <w:r w:rsidR="00BB141B">
              <w:t xml:space="preserve">onveyance </w:t>
            </w:r>
            <w:r w:rsidR="00801B67">
              <w:t xml:space="preserve">as part of an economic development agreement </w:t>
            </w:r>
            <w:r w:rsidR="00BB141B">
              <w:t xml:space="preserve">under </w:t>
            </w:r>
            <w:r w:rsidR="00BB141B" w:rsidRPr="0057585A">
              <w:t>an</w:t>
            </w:r>
            <w:r w:rsidR="00BB141B">
              <w:t xml:space="preserve"> economic development program </w:t>
            </w:r>
            <w:r w:rsidR="006D247C">
              <w:t>would allow</w:t>
            </w:r>
            <w:r w:rsidR="00182BF4">
              <w:t xml:space="preserve"> the </w:t>
            </w:r>
            <w:r w:rsidR="00801B67">
              <w:t xml:space="preserve">transfer of property </w:t>
            </w:r>
            <w:r w:rsidR="00182BF4">
              <w:t xml:space="preserve">to move much more quickly, </w:t>
            </w:r>
            <w:r w:rsidR="006D247C">
              <w:t xml:space="preserve">providing the city with </w:t>
            </w:r>
            <w:r w:rsidR="006D247C" w:rsidRPr="00336E4F">
              <w:t xml:space="preserve">an additional economic development tool and </w:t>
            </w:r>
            <w:r w:rsidR="006D247C">
              <w:t>making it</w:t>
            </w:r>
            <w:r w:rsidR="006D247C" w:rsidRPr="00336E4F">
              <w:t xml:space="preserve"> more competitive in attracting business</w:t>
            </w:r>
            <w:r w:rsidR="00182BF4">
              <w:t xml:space="preserve">. </w:t>
            </w:r>
            <w:r w:rsidRPr="00336E4F">
              <w:t>H</w:t>
            </w:r>
            <w:r w:rsidR="00BB141B">
              <w:t>.</w:t>
            </w:r>
            <w:r w:rsidRPr="00336E4F">
              <w:t>B</w:t>
            </w:r>
            <w:r w:rsidR="00BB141B">
              <w:t>.</w:t>
            </w:r>
            <w:r w:rsidRPr="00336E4F">
              <w:t xml:space="preserve"> 1492 seeks to create more opportunities to bring businesses to the state</w:t>
            </w:r>
            <w:r w:rsidR="006D247C">
              <w:t xml:space="preserve"> by providing for the conveyance of land as part of an economic development agreement</w:t>
            </w:r>
            <w:r w:rsidRPr="00336E4F">
              <w:t>.</w:t>
            </w:r>
          </w:p>
          <w:p w14:paraId="1713EC06" w14:textId="77777777" w:rsidR="008423E4" w:rsidRPr="00E26B13" w:rsidRDefault="008423E4" w:rsidP="00E7527F">
            <w:pPr>
              <w:rPr>
                <w:b/>
              </w:rPr>
            </w:pPr>
          </w:p>
        </w:tc>
      </w:tr>
      <w:tr w:rsidR="001E46E4" w14:paraId="0980A8AC" w14:textId="77777777" w:rsidTr="00573BE6">
        <w:tc>
          <w:tcPr>
            <w:tcW w:w="9450" w:type="dxa"/>
          </w:tcPr>
          <w:p w14:paraId="5D1FAF05" w14:textId="77777777" w:rsidR="0017725B" w:rsidRDefault="00C40FB4" w:rsidP="00E752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8A31C1" w14:textId="77777777" w:rsidR="0017725B" w:rsidRDefault="0017725B" w:rsidP="00E7527F">
            <w:pPr>
              <w:rPr>
                <w:b/>
                <w:u w:val="single"/>
              </w:rPr>
            </w:pPr>
          </w:p>
          <w:p w14:paraId="2B367CD4" w14:textId="645F8D55" w:rsidR="00E97DBA" w:rsidRPr="00E97DBA" w:rsidRDefault="00C40FB4" w:rsidP="00E7527F">
            <w:pPr>
              <w:jc w:val="both"/>
            </w:pPr>
            <w:r>
              <w:t xml:space="preserve">It </w:t>
            </w:r>
            <w:r>
              <w:t xml:space="preserve">is the committee's opinion that this bill does not expressly create a criminal offense, increase the punishment for an existing criminal offense or category of offenses, or change the eligibility of a person for community supervision, parole, or mandatory </w:t>
            </w:r>
            <w:r>
              <w:t>supervision.</w:t>
            </w:r>
          </w:p>
          <w:p w14:paraId="2455C559" w14:textId="77777777" w:rsidR="0017725B" w:rsidRPr="0017725B" w:rsidRDefault="0017725B" w:rsidP="00E7527F">
            <w:pPr>
              <w:rPr>
                <w:b/>
                <w:u w:val="single"/>
              </w:rPr>
            </w:pPr>
          </w:p>
        </w:tc>
      </w:tr>
      <w:tr w:rsidR="001E46E4" w14:paraId="34B68434" w14:textId="77777777" w:rsidTr="00573BE6">
        <w:tc>
          <w:tcPr>
            <w:tcW w:w="9450" w:type="dxa"/>
          </w:tcPr>
          <w:p w14:paraId="27D390F3" w14:textId="77777777" w:rsidR="008423E4" w:rsidRPr="00A8133F" w:rsidRDefault="00C40FB4" w:rsidP="00E7527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6C722C" w14:textId="77777777" w:rsidR="008423E4" w:rsidRDefault="008423E4" w:rsidP="00E7527F"/>
          <w:p w14:paraId="764D391F" w14:textId="0B954FC1" w:rsidR="00E97DBA" w:rsidRDefault="00C40FB4" w:rsidP="00E752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4379E09" w14:textId="77777777" w:rsidR="008423E4" w:rsidRPr="00E21FDC" w:rsidRDefault="008423E4" w:rsidP="00E7527F">
            <w:pPr>
              <w:rPr>
                <w:b/>
              </w:rPr>
            </w:pPr>
          </w:p>
        </w:tc>
      </w:tr>
      <w:tr w:rsidR="001E46E4" w14:paraId="086D5909" w14:textId="77777777" w:rsidTr="00573BE6">
        <w:tc>
          <w:tcPr>
            <w:tcW w:w="9450" w:type="dxa"/>
          </w:tcPr>
          <w:p w14:paraId="58FA9CED" w14:textId="77777777" w:rsidR="008423E4" w:rsidRPr="00A8133F" w:rsidRDefault="00C40FB4" w:rsidP="00E7527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63085E" w14:textId="77777777" w:rsidR="008423E4" w:rsidRDefault="008423E4" w:rsidP="00E7527F"/>
          <w:p w14:paraId="21DBD1BA" w14:textId="524C35AE" w:rsidR="0086022E" w:rsidRDefault="00C40FB4" w:rsidP="00E752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1492 amends the Local Government Code to authorize </w:t>
            </w:r>
            <w:r w:rsidR="0057585A" w:rsidRPr="0057585A">
              <w:t>a municipality that ha</w:t>
            </w:r>
            <w:r w:rsidR="00FC619C">
              <w:t>s</w:t>
            </w:r>
            <w:r w:rsidR="0057585A" w:rsidRPr="0057585A">
              <w:t xml:space="preserve"> entered into an</w:t>
            </w:r>
            <w:r w:rsidR="0057585A">
              <w:t xml:space="preserve"> economic development </w:t>
            </w:r>
            <w:r w:rsidR="00864B84">
              <w:t xml:space="preserve">agreement </w:t>
            </w:r>
            <w:r w:rsidR="0057585A">
              <w:t xml:space="preserve">with an entity </w:t>
            </w:r>
            <w:r w:rsidR="00A60072">
              <w:t xml:space="preserve">for the administration of an economic development program </w:t>
            </w:r>
            <w:r w:rsidR="0057585A">
              <w:t xml:space="preserve">to </w:t>
            </w:r>
            <w:r w:rsidR="0057585A" w:rsidRPr="0057585A">
              <w:t xml:space="preserve">transfer to </w:t>
            </w:r>
            <w:r w:rsidR="0057585A">
              <w:t>that</w:t>
            </w:r>
            <w:r w:rsidR="0057585A" w:rsidRPr="0057585A">
              <w:t xml:space="preserve"> entity real property or an interest in real property</w:t>
            </w:r>
            <w:r w:rsidR="00864B84">
              <w:t xml:space="preserve"> for consideration</w:t>
            </w:r>
            <w:r w:rsidR="00440078">
              <w:t>.</w:t>
            </w:r>
            <w:r w:rsidR="0057585A">
              <w:t xml:space="preserve"> </w:t>
            </w:r>
            <w:r w:rsidR="00864B84">
              <w:t xml:space="preserve">The bill </w:t>
            </w:r>
            <w:r>
              <w:t>sets out the following with respect to such a transfer:</w:t>
            </w:r>
          </w:p>
          <w:p w14:paraId="5F64C9A2" w14:textId="29DC0B78" w:rsidR="0086022E" w:rsidRDefault="00C40FB4" w:rsidP="00E7527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provision establishing that consideration for such a transfer is </w:t>
            </w:r>
            <w:r w:rsidRPr="0086022E">
              <w:t>in the form of an agreement between the parties that requires the entity to use the prop</w:t>
            </w:r>
            <w:r w:rsidRPr="0086022E">
              <w:t>erty in a manner that</w:t>
            </w:r>
            <w:r>
              <w:t xml:space="preserve"> </w:t>
            </w:r>
            <w:r w:rsidR="0057585A" w:rsidRPr="0057585A">
              <w:t>primarily promote</w:t>
            </w:r>
            <w:r>
              <w:t>s</w:t>
            </w:r>
            <w:r w:rsidR="0057585A" w:rsidRPr="0057585A">
              <w:t xml:space="preserve"> a public purpose of the municipality relating to economic development</w:t>
            </w:r>
            <w:r>
              <w:t>;</w:t>
            </w:r>
          </w:p>
          <w:p w14:paraId="40115581" w14:textId="3BD5354A" w:rsidR="0086022E" w:rsidRDefault="00C40FB4" w:rsidP="00E7527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requirement that the </w:t>
            </w:r>
            <w:r w:rsidR="0058283E">
              <w:t xml:space="preserve">transfer </w:t>
            </w:r>
            <w:r w:rsidR="0057585A">
              <w:t xml:space="preserve">agreement </w:t>
            </w:r>
            <w:r w:rsidR="0058283E" w:rsidRPr="0058283E">
              <w:t>include provisions under which the municipality is granted sufficient control to ensure that the public purpose is accomplished and the municipality receives the return benefit</w:t>
            </w:r>
            <w:r>
              <w:t>; and</w:t>
            </w:r>
          </w:p>
          <w:p w14:paraId="4F945D23" w14:textId="70329338" w:rsidR="0086022E" w:rsidRDefault="00C40FB4" w:rsidP="00E7527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prohibition on the transfer of the following:</w:t>
            </w:r>
          </w:p>
          <w:p w14:paraId="0EBDF4C7" w14:textId="7D6A1A57" w:rsidR="0086022E" w:rsidRDefault="00C40FB4" w:rsidP="00E7527F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real property or an interest in real </w:t>
            </w:r>
            <w:r w:rsidRPr="0058283E">
              <w:t xml:space="preserve">property </w:t>
            </w:r>
            <w:r>
              <w:t xml:space="preserve">that </w:t>
            </w:r>
            <w:r w:rsidRPr="0058283E">
              <w:t>the municipality owns, holds, or claims as a public square or park</w:t>
            </w:r>
            <w:r>
              <w:t>; and</w:t>
            </w:r>
          </w:p>
          <w:p w14:paraId="1BCA8CF8" w14:textId="5559B6F8" w:rsidR="00E97DBA" w:rsidRDefault="00C40FB4" w:rsidP="00E7527F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</w:t>
            </w:r>
            <w:r w:rsidR="0086022E">
              <w:t xml:space="preserve">eal property </w:t>
            </w:r>
            <w:r w:rsidR="0086022E" w:rsidRPr="00CC2DFA">
              <w:t xml:space="preserve">acquired by the municipality from the previous owner by the exercise of eminent domain authority or the threat of the exercise of </w:t>
            </w:r>
            <w:r>
              <w:t>that</w:t>
            </w:r>
            <w:r w:rsidR="0086022E" w:rsidRPr="00CC2DFA">
              <w:t xml:space="preserve"> authority</w:t>
            </w:r>
            <w:r>
              <w:t xml:space="preserve">, unless the municipality offers, and the previous owner declines, </w:t>
            </w:r>
            <w:r w:rsidRPr="003200CE">
              <w:t>an opportunity to repurchase the</w:t>
            </w:r>
            <w:r w:rsidRPr="003200CE">
              <w:t xml:space="preserve"> property at the current market value</w:t>
            </w:r>
            <w:r>
              <w:t xml:space="preserve"> or the municipality cannot locate the previous owner with reasonable effort.</w:t>
            </w:r>
          </w:p>
          <w:p w14:paraId="63F25B68" w14:textId="7B62494A" w:rsidR="00CC2DFA" w:rsidRDefault="00CC2DFA" w:rsidP="00E7527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04A28DDA" w14:textId="08A8DD7F" w:rsidR="00CC2DFA" w:rsidRDefault="00C40FB4" w:rsidP="00E752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1492 requires </w:t>
            </w:r>
            <w:r w:rsidR="00573BE6">
              <w:t>a municipality</w:t>
            </w:r>
            <w:r w:rsidR="00C61D84">
              <w:t xml:space="preserve">, before the municipality may transfer real property or an interest in real property, </w:t>
            </w:r>
            <w:r w:rsidR="00573BE6">
              <w:t xml:space="preserve">to </w:t>
            </w:r>
            <w:r w:rsidR="00573BE6" w:rsidRPr="00573BE6">
              <w:t xml:space="preserve">provide </w:t>
            </w:r>
            <w:r w:rsidR="007E2546">
              <w:t xml:space="preserve">public </w:t>
            </w:r>
            <w:r w:rsidR="00573BE6" w:rsidRPr="00573BE6">
              <w:t>notice</w:t>
            </w:r>
            <w:r w:rsidR="00C61D84">
              <w:t xml:space="preserve"> </w:t>
            </w:r>
            <w:r w:rsidR="00C61D84" w:rsidRPr="00C61D84">
              <w:t>in a newspaper of general circulation in the</w:t>
            </w:r>
            <w:r w:rsidR="00C61D84">
              <w:t xml:space="preserve"> applicable county or by </w:t>
            </w:r>
            <w:r w:rsidR="00834A6C">
              <w:t>another means authorized by municipal statute or ordinance</w:t>
            </w:r>
            <w:r w:rsidR="00C61D84">
              <w:t xml:space="preserve">. Such notice must </w:t>
            </w:r>
            <w:r w:rsidR="0050591D">
              <w:t>include a description of the property, including its location</w:t>
            </w:r>
            <w:r w:rsidR="00A26921">
              <w:t>;</w:t>
            </w:r>
            <w:r w:rsidR="0050591D">
              <w:t xml:space="preserve"> </w:t>
            </w:r>
            <w:r w:rsidR="00C61D84">
              <w:t xml:space="preserve">be </w:t>
            </w:r>
            <w:r w:rsidR="00573BE6" w:rsidRPr="00573BE6">
              <w:t>provided within 10 days before the date the property or an interest in the property is transferre</w:t>
            </w:r>
            <w:r w:rsidR="00834A6C">
              <w:t>d</w:t>
            </w:r>
            <w:r w:rsidR="00A26921">
              <w:t>;</w:t>
            </w:r>
            <w:r w:rsidR="00834A6C">
              <w:t xml:space="preserve"> and, if published in a newspaper,</w:t>
            </w:r>
            <w:r w:rsidR="00573BE6">
              <w:t xml:space="preserve"> be </w:t>
            </w:r>
            <w:r w:rsidR="00573BE6" w:rsidRPr="00573BE6">
              <w:t>published for two separate days</w:t>
            </w:r>
            <w:r w:rsidR="00573BE6">
              <w:t xml:space="preserve"> </w:t>
            </w:r>
            <w:r w:rsidR="00573BE6" w:rsidRPr="00573BE6">
              <w:t xml:space="preserve">within </w:t>
            </w:r>
            <w:r w:rsidR="00834A6C">
              <w:t>that period</w:t>
            </w:r>
            <w:r w:rsidR="00573BE6">
              <w:t>.</w:t>
            </w:r>
          </w:p>
          <w:p w14:paraId="7DE445D0" w14:textId="70947FB9" w:rsidR="00834A6C" w:rsidRDefault="00834A6C" w:rsidP="00E752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44B093" w14:textId="5D0C9F56" w:rsidR="009C36CD" w:rsidRPr="0058283E" w:rsidRDefault="00C40FB4" w:rsidP="00E7527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t xml:space="preserve">H.B. 1492 clarifies that its provisions do not </w:t>
            </w:r>
            <w:r w:rsidRPr="00E97DBA">
              <w:t>constitute a grant or expansion of eminent domain authority</w:t>
            </w:r>
            <w:r w:rsidRPr="00E97DBA">
              <w:t>.</w:t>
            </w:r>
          </w:p>
          <w:p w14:paraId="3936DA9C" w14:textId="77777777" w:rsidR="008423E4" w:rsidRPr="00835628" w:rsidRDefault="008423E4" w:rsidP="00E7527F">
            <w:pPr>
              <w:rPr>
                <w:b/>
              </w:rPr>
            </w:pPr>
          </w:p>
        </w:tc>
      </w:tr>
      <w:tr w:rsidR="001E46E4" w14:paraId="0287AA9D" w14:textId="77777777" w:rsidTr="00573BE6">
        <w:tc>
          <w:tcPr>
            <w:tcW w:w="9450" w:type="dxa"/>
          </w:tcPr>
          <w:p w14:paraId="65FD50E2" w14:textId="77777777" w:rsidR="008423E4" w:rsidRPr="00A8133F" w:rsidRDefault="00C40FB4" w:rsidP="00E7527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14EB28" w14:textId="77777777" w:rsidR="008423E4" w:rsidRDefault="008423E4" w:rsidP="00E7527F"/>
          <w:p w14:paraId="378E3D71" w14:textId="00E02227" w:rsidR="008423E4" w:rsidRPr="003624F2" w:rsidRDefault="00C40FB4" w:rsidP="00E752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6D7DEB5" w14:textId="77777777" w:rsidR="008423E4" w:rsidRPr="00233FDB" w:rsidRDefault="008423E4" w:rsidP="00E7527F">
            <w:pPr>
              <w:rPr>
                <w:b/>
              </w:rPr>
            </w:pPr>
          </w:p>
        </w:tc>
      </w:tr>
    </w:tbl>
    <w:p w14:paraId="29A8E8E2" w14:textId="77777777" w:rsidR="008423E4" w:rsidRPr="00BE0E75" w:rsidRDefault="008423E4" w:rsidP="00E7527F">
      <w:pPr>
        <w:jc w:val="both"/>
        <w:rPr>
          <w:rFonts w:ascii="Arial" w:hAnsi="Arial"/>
          <w:sz w:val="16"/>
          <w:szCs w:val="16"/>
        </w:rPr>
      </w:pPr>
    </w:p>
    <w:p w14:paraId="4FFAE126" w14:textId="77777777" w:rsidR="004108C3" w:rsidRPr="008423E4" w:rsidRDefault="004108C3" w:rsidP="00E7527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8DB8" w14:textId="77777777" w:rsidR="00000000" w:rsidRDefault="00C40FB4">
      <w:r>
        <w:separator/>
      </w:r>
    </w:p>
  </w:endnote>
  <w:endnote w:type="continuationSeparator" w:id="0">
    <w:p w14:paraId="14B040F4" w14:textId="77777777" w:rsidR="00000000" w:rsidRDefault="00C4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220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46E4" w14:paraId="6E6E8A59" w14:textId="77777777" w:rsidTr="009C1E9A">
      <w:trPr>
        <w:cantSplit/>
      </w:trPr>
      <w:tc>
        <w:tcPr>
          <w:tcW w:w="0" w:type="pct"/>
        </w:tcPr>
        <w:p w14:paraId="165B7F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2CBC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549B9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E16E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4801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46E4" w14:paraId="6F7F1B4A" w14:textId="77777777" w:rsidTr="009C1E9A">
      <w:trPr>
        <w:cantSplit/>
      </w:trPr>
      <w:tc>
        <w:tcPr>
          <w:tcW w:w="0" w:type="pct"/>
        </w:tcPr>
        <w:p w14:paraId="21BE5E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37BEBA" w14:textId="6D7908EB" w:rsidR="00EC379B" w:rsidRPr="009C1E9A" w:rsidRDefault="00C40FB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23529-D</w:t>
          </w:r>
        </w:p>
      </w:tc>
      <w:tc>
        <w:tcPr>
          <w:tcW w:w="2453" w:type="pct"/>
        </w:tcPr>
        <w:p w14:paraId="389CB957" w14:textId="48499AC1" w:rsidR="00EC379B" w:rsidRDefault="00C40F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52E83">
            <w:t>23.104.927</w:t>
          </w:r>
          <w:r>
            <w:fldChar w:fldCharType="end"/>
          </w:r>
        </w:p>
      </w:tc>
    </w:tr>
    <w:tr w:rsidR="001E46E4" w14:paraId="28E9A6E1" w14:textId="77777777" w:rsidTr="009C1E9A">
      <w:trPr>
        <w:cantSplit/>
      </w:trPr>
      <w:tc>
        <w:tcPr>
          <w:tcW w:w="0" w:type="pct"/>
        </w:tcPr>
        <w:p w14:paraId="7A46DA2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2CA03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A0BAD9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0FF9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46E4" w14:paraId="7D6BB35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B3E174" w14:textId="77777777" w:rsidR="00EC379B" w:rsidRDefault="00C40F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DCDF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CC0E9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63D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8C53" w14:textId="77777777" w:rsidR="00000000" w:rsidRDefault="00C40FB4">
      <w:r>
        <w:separator/>
      </w:r>
    </w:p>
  </w:footnote>
  <w:footnote w:type="continuationSeparator" w:id="0">
    <w:p w14:paraId="30991AF2" w14:textId="77777777" w:rsidR="00000000" w:rsidRDefault="00C4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581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7DB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098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012"/>
    <w:multiLevelType w:val="hybridMultilevel"/>
    <w:tmpl w:val="81A87912"/>
    <w:lvl w:ilvl="0" w:tplc="78D06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23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E9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07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02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E5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7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43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5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9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E83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848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BF4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C51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6E4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0CE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6E4F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516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A24"/>
    <w:rsid w:val="004350F3"/>
    <w:rsid w:val="00436980"/>
    <w:rsid w:val="00440078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C80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91D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BE6"/>
    <w:rsid w:val="0057585A"/>
    <w:rsid w:val="00576188"/>
    <w:rsid w:val="00576714"/>
    <w:rsid w:val="0057685A"/>
    <w:rsid w:val="0058283E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A4E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47C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546"/>
    <w:rsid w:val="007E33B6"/>
    <w:rsid w:val="007E59E8"/>
    <w:rsid w:val="007F3861"/>
    <w:rsid w:val="007F4162"/>
    <w:rsid w:val="007F5441"/>
    <w:rsid w:val="007F7668"/>
    <w:rsid w:val="00800C63"/>
    <w:rsid w:val="00801B67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A6C"/>
    <w:rsid w:val="00835628"/>
    <w:rsid w:val="00835E90"/>
    <w:rsid w:val="0084176D"/>
    <w:rsid w:val="008423E4"/>
    <w:rsid w:val="00842900"/>
    <w:rsid w:val="0084611D"/>
    <w:rsid w:val="00850CF0"/>
    <w:rsid w:val="00851869"/>
    <w:rsid w:val="00851C04"/>
    <w:rsid w:val="008531A1"/>
    <w:rsid w:val="00853A94"/>
    <w:rsid w:val="008547A3"/>
    <w:rsid w:val="0085797D"/>
    <w:rsid w:val="00860020"/>
    <w:rsid w:val="0086022E"/>
    <w:rsid w:val="008618E7"/>
    <w:rsid w:val="00861995"/>
    <w:rsid w:val="0086231A"/>
    <w:rsid w:val="0086477C"/>
    <w:rsid w:val="00864B84"/>
    <w:rsid w:val="00864BAD"/>
    <w:rsid w:val="00866F9D"/>
    <w:rsid w:val="008673D9"/>
    <w:rsid w:val="00867FEF"/>
    <w:rsid w:val="00871775"/>
    <w:rsid w:val="00871AEF"/>
    <w:rsid w:val="008726E5"/>
    <w:rsid w:val="0087289E"/>
    <w:rsid w:val="00874C05"/>
    <w:rsid w:val="008757ED"/>
    <w:rsid w:val="0087588B"/>
    <w:rsid w:val="0087680A"/>
    <w:rsid w:val="008806EB"/>
    <w:rsid w:val="00881789"/>
    <w:rsid w:val="008826F2"/>
    <w:rsid w:val="008845BA"/>
    <w:rsid w:val="00884AE3"/>
    <w:rsid w:val="00885203"/>
    <w:rsid w:val="008859CA"/>
    <w:rsid w:val="008861EE"/>
    <w:rsid w:val="00890B59"/>
    <w:rsid w:val="0089103E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5F8"/>
    <w:rsid w:val="00903E0A"/>
    <w:rsid w:val="00904721"/>
    <w:rsid w:val="00906793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921"/>
    <w:rsid w:val="00A26A8A"/>
    <w:rsid w:val="00A27255"/>
    <w:rsid w:val="00A27262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072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7B1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41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FB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1D8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935"/>
    <w:rsid w:val="00CC24B7"/>
    <w:rsid w:val="00CC2DFA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7C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27F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DBA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81F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25D"/>
    <w:rsid w:val="00F50130"/>
    <w:rsid w:val="00F512D9"/>
    <w:rsid w:val="00F52402"/>
    <w:rsid w:val="00F5605D"/>
    <w:rsid w:val="00F5787A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407"/>
    <w:rsid w:val="00FC5388"/>
    <w:rsid w:val="00FC619C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AA14FC-15DA-4543-AC70-2D621408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C2D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2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2D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2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2DFA"/>
    <w:rPr>
      <w:b/>
      <w:bCs/>
    </w:rPr>
  </w:style>
  <w:style w:type="paragraph" w:styleId="Revision">
    <w:name w:val="Revision"/>
    <w:hidden/>
    <w:uiPriority w:val="99"/>
    <w:semiHidden/>
    <w:rsid w:val="00CC19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2998</Characters>
  <Application>Microsoft Office Word</Application>
  <DocSecurity>4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HB01492 (Committee Report (Unamended))</vt:lpstr>
    </vt:vector>
  </TitlesOfParts>
  <Company>State of Texas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23529</dc:subject>
  <dc:creator>State of Texas</dc:creator>
  <dc:description>HB 1492 by Ordaz-(H)Urban Affairs</dc:description>
  <cp:lastModifiedBy>Stacey Nicchio</cp:lastModifiedBy>
  <cp:revision>2</cp:revision>
  <cp:lastPrinted>2003-11-26T17:21:00Z</cp:lastPrinted>
  <dcterms:created xsi:type="dcterms:W3CDTF">2023-04-24T23:02:00Z</dcterms:created>
  <dcterms:modified xsi:type="dcterms:W3CDTF">2023-04-24T23:02:00Z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23.104.927</vt:lpwstr>
  </property>
</Properties>
</file>