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D137A" w14:paraId="2C00538D" w14:textId="77777777" w:rsidTr="00345119">
        <w:tc>
          <w:tcPr>
            <w:tcW w:w="9576" w:type="dxa"/>
            <w:noWrap/>
          </w:tcPr>
          <w:p w14:paraId="13DD4DDA" w14:textId="77777777" w:rsidR="008423E4" w:rsidRPr="0022177D" w:rsidRDefault="00FD0305" w:rsidP="00DF28B9">
            <w:pPr>
              <w:pStyle w:val="Heading1"/>
            </w:pPr>
            <w:r w:rsidRPr="00631897">
              <w:t>BILL ANALYSIS</w:t>
            </w:r>
          </w:p>
        </w:tc>
      </w:tr>
    </w:tbl>
    <w:p w14:paraId="23921A45" w14:textId="77777777" w:rsidR="008423E4" w:rsidRPr="0082746B" w:rsidRDefault="008423E4" w:rsidP="00DF28B9">
      <w:pPr>
        <w:jc w:val="center"/>
        <w:rPr>
          <w:sz w:val="20"/>
          <w:szCs w:val="20"/>
        </w:rPr>
      </w:pPr>
    </w:p>
    <w:p w14:paraId="37069EEF" w14:textId="77777777" w:rsidR="008423E4" w:rsidRPr="0082746B" w:rsidRDefault="008423E4" w:rsidP="00DF28B9">
      <w:pPr>
        <w:rPr>
          <w:sz w:val="20"/>
          <w:szCs w:val="20"/>
        </w:rPr>
      </w:pPr>
    </w:p>
    <w:p w14:paraId="140C16CF" w14:textId="77777777" w:rsidR="008423E4" w:rsidRPr="0082746B" w:rsidRDefault="008423E4" w:rsidP="00DF28B9">
      <w:pPr>
        <w:tabs>
          <w:tab w:val="right" w:pos="9360"/>
        </w:tabs>
        <w:rPr>
          <w:sz w:val="20"/>
          <w:szCs w:val="20"/>
        </w:rPr>
      </w:pPr>
    </w:p>
    <w:tbl>
      <w:tblPr>
        <w:tblW w:w="0" w:type="auto"/>
        <w:tblLayout w:type="fixed"/>
        <w:tblLook w:val="01E0" w:firstRow="1" w:lastRow="1" w:firstColumn="1" w:lastColumn="1" w:noHBand="0" w:noVBand="0"/>
      </w:tblPr>
      <w:tblGrid>
        <w:gridCol w:w="9576"/>
      </w:tblGrid>
      <w:tr w:rsidR="009D137A" w14:paraId="0EFF0F63" w14:textId="77777777" w:rsidTr="00345119">
        <w:tc>
          <w:tcPr>
            <w:tcW w:w="9576" w:type="dxa"/>
          </w:tcPr>
          <w:p w14:paraId="2ED3D0D4" w14:textId="4901A8FF" w:rsidR="008423E4" w:rsidRPr="00861995" w:rsidRDefault="00FD0305" w:rsidP="00DF28B9">
            <w:pPr>
              <w:jc w:val="right"/>
            </w:pPr>
            <w:r>
              <w:t>H.B. 1495</w:t>
            </w:r>
          </w:p>
        </w:tc>
      </w:tr>
      <w:tr w:rsidR="009D137A" w14:paraId="52A74BBE" w14:textId="77777777" w:rsidTr="00345119">
        <w:tc>
          <w:tcPr>
            <w:tcW w:w="9576" w:type="dxa"/>
          </w:tcPr>
          <w:p w14:paraId="69FE0F8C" w14:textId="19379645" w:rsidR="008423E4" w:rsidRPr="00861995" w:rsidRDefault="00FD0305" w:rsidP="00DF28B9">
            <w:pPr>
              <w:jc w:val="right"/>
            </w:pPr>
            <w:r>
              <w:t xml:space="preserve">By: </w:t>
            </w:r>
            <w:r w:rsidR="007861DB">
              <w:t>Guerra</w:t>
            </w:r>
          </w:p>
        </w:tc>
      </w:tr>
      <w:tr w:rsidR="009D137A" w14:paraId="7B825582" w14:textId="77777777" w:rsidTr="00345119">
        <w:tc>
          <w:tcPr>
            <w:tcW w:w="9576" w:type="dxa"/>
          </w:tcPr>
          <w:p w14:paraId="7711A8B6" w14:textId="0B431779" w:rsidR="008423E4" w:rsidRPr="00861995" w:rsidRDefault="00FD0305" w:rsidP="00DF28B9">
            <w:pPr>
              <w:jc w:val="right"/>
            </w:pPr>
            <w:r>
              <w:t>State Affairs</w:t>
            </w:r>
          </w:p>
        </w:tc>
      </w:tr>
      <w:tr w:rsidR="009D137A" w14:paraId="668F2AB4" w14:textId="77777777" w:rsidTr="00345119">
        <w:tc>
          <w:tcPr>
            <w:tcW w:w="9576" w:type="dxa"/>
          </w:tcPr>
          <w:p w14:paraId="5217651F" w14:textId="4A383101" w:rsidR="008423E4" w:rsidRDefault="00FD0305" w:rsidP="00DF28B9">
            <w:pPr>
              <w:jc w:val="right"/>
            </w:pPr>
            <w:r>
              <w:t>Committee Report (Unamended)</w:t>
            </w:r>
          </w:p>
        </w:tc>
      </w:tr>
    </w:tbl>
    <w:p w14:paraId="1D66306E" w14:textId="77777777" w:rsidR="008423E4" w:rsidRPr="0082746B" w:rsidRDefault="008423E4" w:rsidP="00DF28B9">
      <w:pPr>
        <w:tabs>
          <w:tab w:val="right" w:pos="9360"/>
        </w:tabs>
        <w:rPr>
          <w:sz w:val="20"/>
          <w:szCs w:val="20"/>
        </w:rPr>
      </w:pPr>
    </w:p>
    <w:p w14:paraId="745CBB28" w14:textId="77777777" w:rsidR="008423E4" w:rsidRPr="0082746B" w:rsidRDefault="008423E4" w:rsidP="00DF28B9">
      <w:pPr>
        <w:rPr>
          <w:sz w:val="20"/>
          <w:szCs w:val="20"/>
        </w:rPr>
      </w:pPr>
    </w:p>
    <w:p w14:paraId="2484ED83" w14:textId="77777777" w:rsidR="008423E4" w:rsidRPr="0082746B" w:rsidRDefault="008423E4" w:rsidP="00DF28B9">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9D137A" w14:paraId="43975355" w14:textId="77777777" w:rsidTr="00345119">
        <w:tc>
          <w:tcPr>
            <w:tcW w:w="9576" w:type="dxa"/>
          </w:tcPr>
          <w:p w14:paraId="1A98775C" w14:textId="77777777" w:rsidR="008423E4" w:rsidRPr="00A8133F" w:rsidRDefault="00FD0305" w:rsidP="00DF28B9">
            <w:pPr>
              <w:rPr>
                <w:b/>
              </w:rPr>
            </w:pPr>
            <w:r w:rsidRPr="009C1E9A">
              <w:rPr>
                <w:b/>
                <w:u w:val="single"/>
              </w:rPr>
              <w:t>BACKGROUND AND PURPOSE</w:t>
            </w:r>
            <w:r>
              <w:rPr>
                <w:b/>
              </w:rPr>
              <w:t xml:space="preserve"> </w:t>
            </w:r>
          </w:p>
          <w:p w14:paraId="6627C3CF" w14:textId="77777777" w:rsidR="008423E4" w:rsidRDefault="008423E4" w:rsidP="00DF28B9"/>
          <w:p w14:paraId="1E8FCFAB" w14:textId="7F3192D0" w:rsidR="008423E4" w:rsidRDefault="00FD0305" w:rsidP="00DF28B9">
            <w:pPr>
              <w:pStyle w:val="Header"/>
              <w:tabs>
                <w:tab w:val="clear" w:pos="4320"/>
                <w:tab w:val="clear" w:pos="8640"/>
              </w:tabs>
              <w:jc w:val="both"/>
            </w:pPr>
            <w:r w:rsidRPr="007861DB">
              <w:t xml:space="preserve">Civic organizations and performing artists are losing their meeting </w:t>
            </w:r>
            <w:r w:rsidR="005201BB">
              <w:t xml:space="preserve">and practice </w:t>
            </w:r>
            <w:r w:rsidRPr="007861DB">
              <w:t xml:space="preserve">spaces, studios, and performance venues because they are </w:t>
            </w:r>
            <w:r w:rsidRPr="007861DB">
              <w:t>too expensive to maintain and operate. Many state</w:t>
            </w:r>
            <w:r w:rsidR="00042C1D">
              <w:noBreakHyphen/>
            </w:r>
            <w:r w:rsidRPr="007861DB">
              <w:t xml:space="preserve">owned facilities, especially universities, have large spaces that are often unoccupied that these civic organizations </w:t>
            </w:r>
            <w:r w:rsidR="005201BB">
              <w:t xml:space="preserve">and artists </w:t>
            </w:r>
            <w:r w:rsidRPr="007861DB">
              <w:t xml:space="preserve">could </w:t>
            </w:r>
            <w:r w:rsidR="00C837FF">
              <w:t>lease to meet their needs, which could also help generate revenue for the state</w:t>
            </w:r>
            <w:r w:rsidRPr="007861DB">
              <w:t>.</w:t>
            </w:r>
            <w:r>
              <w:t xml:space="preserve"> </w:t>
            </w:r>
            <w:r w:rsidR="00E14D43">
              <w:t>H.B</w:t>
            </w:r>
            <w:r w:rsidR="00E23EB9">
              <w:t>. </w:t>
            </w:r>
            <w:r w:rsidR="00F477E3">
              <w:t>1495</w:t>
            </w:r>
            <w:r w:rsidR="00211649" w:rsidRPr="00211649">
              <w:t xml:space="preserve"> seeks to</w:t>
            </w:r>
            <w:r w:rsidR="00010A7C">
              <w:t xml:space="preserve"> provide for</w:t>
            </w:r>
            <w:r w:rsidR="005201BB">
              <w:t xml:space="preserve"> the</w:t>
            </w:r>
            <w:r w:rsidR="00010A7C">
              <w:t xml:space="preserve"> </w:t>
            </w:r>
            <w:r w:rsidR="00211649" w:rsidRPr="00211649">
              <w:t>evaluat</w:t>
            </w:r>
            <w:r w:rsidR="00010A7C">
              <w:t>ion of</w:t>
            </w:r>
            <w:r w:rsidR="00211649" w:rsidRPr="00211649">
              <w:t xml:space="preserve"> </w:t>
            </w:r>
            <w:r w:rsidR="00E14D43">
              <w:t>the feasibility of leasing spaces in or on the property of a</w:t>
            </w:r>
            <w:r w:rsidR="00211649" w:rsidRPr="00211649">
              <w:t xml:space="preserve"> state</w:t>
            </w:r>
            <w:r w:rsidR="00E14D43">
              <w:t xml:space="preserve"> agency or public institution of higher education</w:t>
            </w:r>
            <w:r w:rsidR="00211649" w:rsidRPr="00211649">
              <w:t xml:space="preserve"> </w:t>
            </w:r>
            <w:r w:rsidR="00E14D43" w:rsidRPr="00E14D43">
              <w:t>to artists for the practic</w:t>
            </w:r>
            <w:r w:rsidR="00E14D43">
              <w:t>e and performance of their arts.</w:t>
            </w:r>
          </w:p>
          <w:p w14:paraId="0E1E8314" w14:textId="77777777" w:rsidR="008423E4" w:rsidRPr="00E26B13" w:rsidRDefault="008423E4" w:rsidP="00DF28B9">
            <w:pPr>
              <w:rPr>
                <w:b/>
              </w:rPr>
            </w:pPr>
          </w:p>
        </w:tc>
      </w:tr>
      <w:tr w:rsidR="009D137A" w14:paraId="1AD835EE" w14:textId="77777777" w:rsidTr="00345119">
        <w:tc>
          <w:tcPr>
            <w:tcW w:w="9576" w:type="dxa"/>
          </w:tcPr>
          <w:p w14:paraId="1F64BF25" w14:textId="77777777" w:rsidR="0017725B" w:rsidRDefault="00FD0305" w:rsidP="00DF28B9">
            <w:pPr>
              <w:rPr>
                <w:b/>
                <w:u w:val="single"/>
              </w:rPr>
            </w:pPr>
            <w:r>
              <w:rPr>
                <w:b/>
                <w:u w:val="single"/>
              </w:rPr>
              <w:t>CRIMINAL JUSTICE IM</w:t>
            </w:r>
            <w:r>
              <w:rPr>
                <w:b/>
                <w:u w:val="single"/>
              </w:rPr>
              <w:t>PACT</w:t>
            </w:r>
          </w:p>
          <w:p w14:paraId="7705AB0E" w14:textId="77777777" w:rsidR="0017725B" w:rsidRDefault="0017725B" w:rsidP="00DF28B9">
            <w:pPr>
              <w:rPr>
                <w:b/>
                <w:u w:val="single"/>
              </w:rPr>
            </w:pPr>
          </w:p>
          <w:p w14:paraId="2F803644" w14:textId="77777777" w:rsidR="00211649" w:rsidRPr="00211649" w:rsidRDefault="00FD0305" w:rsidP="00DF28B9">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w:t>
            </w:r>
            <w:r>
              <w:t>parole, or mandatory supervision.</w:t>
            </w:r>
          </w:p>
          <w:p w14:paraId="64AEA40B" w14:textId="77777777" w:rsidR="0017725B" w:rsidRPr="0017725B" w:rsidRDefault="0017725B" w:rsidP="00DF28B9">
            <w:pPr>
              <w:rPr>
                <w:b/>
                <w:u w:val="single"/>
              </w:rPr>
            </w:pPr>
          </w:p>
        </w:tc>
      </w:tr>
      <w:tr w:rsidR="009D137A" w14:paraId="652C648D" w14:textId="77777777" w:rsidTr="00345119">
        <w:tc>
          <w:tcPr>
            <w:tcW w:w="9576" w:type="dxa"/>
          </w:tcPr>
          <w:p w14:paraId="7399AF91" w14:textId="77777777" w:rsidR="008423E4" w:rsidRPr="00A8133F" w:rsidRDefault="00FD0305" w:rsidP="00DF28B9">
            <w:pPr>
              <w:rPr>
                <w:b/>
              </w:rPr>
            </w:pPr>
            <w:r w:rsidRPr="009C1E9A">
              <w:rPr>
                <w:b/>
                <w:u w:val="single"/>
              </w:rPr>
              <w:t>RULEMAKING AUTHORITY</w:t>
            </w:r>
            <w:r>
              <w:rPr>
                <w:b/>
              </w:rPr>
              <w:t xml:space="preserve"> </w:t>
            </w:r>
          </w:p>
          <w:p w14:paraId="69F15226" w14:textId="77777777" w:rsidR="008423E4" w:rsidRDefault="008423E4" w:rsidP="00DF28B9"/>
          <w:p w14:paraId="69E95B09" w14:textId="77777777" w:rsidR="00211649" w:rsidRDefault="00FD0305" w:rsidP="00DF28B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856634D" w14:textId="77777777" w:rsidR="008423E4" w:rsidRPr="00E21FDC" w:rsidRDefault="008423E4" w:rsidP="00DF28B9">
            <w:pPr>
              <w:rPr>
                <w:b/>
              </w:rPr>
            </w:pPr>
          </w:p>
        </w:tc>
      </w:tr>
      <w:tr w:rsidR="009D137A" w14:paraId="69751474" w14:textId="77777777" w:rsidTr="00345119">
        <w:tc>
          <w:tcPr>
            <w:tcW w:w="9576" w:type="dxa"/>
          </w:tcPr>
          <w:p w14:paraId="731A5E6B" w14:textId="77777777" w:rsidR="008423E4" w:rsidRPr="00A8133F" w:rsidRDefault="00FD0305" w:rsidP="00DF28B9">
            <w:pPr>
              <w:rPr>
                <w:b/>
              </w:rPr>
            </w:pPr>
            <w:r w:rsidRPr="009C1E9A">
              <w:rPr>
                <w:b/>
                <w:u w:val="single"/>
              </w:rPr>
              <w:t>ANALYSIS</w:t>
            </w:r>
            <w:r>
              <w:rPr>
                <w:b/>
              </w:rPr>
              <w:t xml:space="preserve"> </w:t>
            </w:r>
          </w:p>
          <w:p w14:paraId="55A52FF9" w14:textId="77777777" w:rsidR="008423E4" w:rsidRDefault="008423E4" w:rsidP="00DF28B9"/>
          <w:p w14:paraId="3D2E3C19" w14:textId="15E98B89" w:rsidR="009C36CD" w:rsidRDefault="00FD0305" w:rsidP="00DF28B9">
            <w:pPr>
              <w:pStyle w:val="Header"/>
              <w:tabs>
                <w:tab w:val="clear" w:pos="4320"/>
                <w:tab w:val="clear" w:pos="8640"/>
              </w:tabs>
              <w:jc w:val="both"/>
            </w:pPr>
            <w:r>
              <w:t xml:space="preserve">H.B. </w:t>
            </w:r>
            <w:r w:rsidR="00F477E3">
              <w:t>1495</w:t>
            </w:r>
            <w:r>
              <w:t xml:space="preserve"> requires </w:t>
            </w:r>
            <w:r w:rsidRPr="0066709C">
              <w:t>the Texas Facilities Commission</w:t>
            </w:r>
            <w:r>
              <w:t xml:space="preserve"> (TFC)</w:t>
            </w:r>
            <w:r w:rsidR="007B2DB4">
              <w:t xml:space="preserve"> and the Texas Higher Education Coordinating Board (THECB) to each conduct a study </w:t>
            </w:r>
            <w:r>
              <w:t>i</w:t>
            </w:r>
            <w:r w:rsidRPr="0066709C">
              <w:t>n collaboration with the Texas Commission on the Arts to assess the feasibility of leasing to artists for the practice and pe</w:t>
            </w:r>
            <w:r w:rsidRPr="0066709C">
              <w:t>rformance of their arts available spaces in state agency buildings or on state agency property</w:t>
            </w:r>
            <w:r w:rsidR="007B2DB4">
              <w:t xml:space="preserve"> or in buildings or property of public institutions of higher education in Texas, as applicable</w:t>
            </w:r>
            <w:r>
              <w:t xml:space="preserve">. The bill sets out certain </w:t>
            </w:r>
            <w:r w:rsidR="007B2DB4">
              <w:t>considerations each agency</w:t>
            </w:r>
            <w:r>
              <w:t xml:space="preserve"> must make in</w:t>
            </w:r>
            <w:r>
              <w:t xml:space="preserve"> conducting the</w:t>
            </w:r>
            <w:r w:rsidR="007B2DB4">
              <w:t>ir respective</w:t>
            </w:r>
            <w:r>
              <w:t xml:space="preserve"> stud</w:t>
            </w:r>
            <w:r w:rsidR="007B2DB4">
              <w:t xml:space="preserve">ies and </w:t>
            </w:r>
            <w:r w:rsidR="007B2DB4" w:rsidRPr="00E40512">
              <w:t>require</w:t>
            </w:r>
            <w:r w:rsidR="00F477E3">
              <w:t>s</w:t>
            </w:r>
            <w:r w:rsidR="007B2DB4">
              <w:t xml:space="preserve"> each </w:t>
            </w:r>
            <w:r>
              <w:t>study to identify the following:</w:t>
            </w:r>
          </w:p>
          <w:p w14:paraId="31C4605A" w14:textId="77777777" w:rsidR="0066709C" w:rsidRDefault="00FD0305" w:rsidP="00DF28B9">
            <w:pPr>
              <w:pStyle w:val="Header"/>
              <w:numPr>
                <w:ilvl w:val="0"/>
                <w:numId w:val="1"/>
              </w:numPr>
              <w:jc w:val="both"/>
            </w:pPr>
            <w:r>
              <w:t>the criteria used to determine the feasibility of leasing each space identified as available for lease;</w:t>
            </w:r>
          </w:p>
          <w:p w14:paraId="55B12B4B" w14:textId="77777777" w:rsidR="0066709C" w:rsidRDefault="00FD0305" w:rsidP="00DF28B9">
            <w:pPr>
              <w:pStyle w:val="Header"/>
              <w:numPr>
                <w:ilvl w:val="0"/>
                <w:numId w:val="1"/>
              </w:numPr>
              <w:jc w:val="both"/>
            </w:pPr>
            <w:r>
              <w:t>the measures instituted to avoid viewpoint bias or other possibl</w:t>
            </w:r>
            <w:r>
              <w:t>e biases in the selection of a lease holder;</w:t>
            </w:r>
          </w:p>
          <w:p w14:paraId="08D6CAD8" w14:textId="77777777" w:rsidR="0066709C" w:rsidRDefault="00FD0305" w:rsidP="00DF28B9">
            <w:pPr>
              <w:pStyle w:val="Header"/>
              <w:numPr>
                <w:ilvl w:val="0"/>
                <w:numId w:val="1"/>
              </w:numPr>
              <w:jc w:val="both"/>
            </w:pPr>
            <w:r>
              <w:t xml:space="preserve">the authorized uses of lease income by state agencies </w:t>
            </w:r>
            <w:r w:rsidR="007B2DB4">
              <w:t xml:space="preserve">or public institutions of higher education </w:t>
            </w:r>
            <w:r>
              <w:t xml:space="preserve">to benefit each agency </w:t>
            </w:r>
            <w:r w:rsidR="007B2DB4">
              <w:t xml:space="preserve">or institution </w:t>
            </w:r>
            <w:r>
              <w:t>offering space for lease</w:t>
            </w:r>
            <w:r w:rsidR="007B2DB4">
              <w:t>, as applicable</w:t>
            </w:r>
            <w:r>
              <w:t>; and</w:t>
            </w:r>
          </w:p>
          <w:p w14:paraId="333077D8" w14:textId="77777777" w:rsidR="0066709C" w:rsidRDefault="00FD0305" w:rsidP="00DF28B9">
            <w:pPr>
              <w:pStyle w:val="Header"/>
              <w:numPr>
                <w:ilvl w:val="0"/>
                <w:numId w:val="1"/>
              </w:numPr>
              <w:tabs>
                <w:tab w:val="clear" w:pos="4320"/>
                <w:tab w:val="clear" w:pos="8640"/>
              </w:tabs>
              <w:jc w:val="both"/>
            </w:pPr>
            <w:r>
              <w:t xml:space="preserve">the reasons a state agency </w:t>
            </w:r>
            <w:r w:rsidR="007B2DB4">
              <w:t xml:space="preserve">or public institution of higher education </w:t>
            </w:r>
            <w:r>
              <w:t>would be authorized to decline to lease space at the agency</w:t>
            </w:r>
            <w:r w:rsidR="007B2DB4">
              <w:t xml:space="preserve"> or institution, as applicable</w:t>
            </w:r>
            <w:r>
              <w:t>.</w:t>
            </w:r>
          </w:p>
          <w:p w14:paraId="657255DC" w14:textId="77777777" w:rsidR="007B2DB4" w:rsidRDefault="007B2DB4" w:rsidP="00DF28B9">
            <w:pPr>
              <w:pStyle w:val="Header"/>
              <w:tabs>
                <w:tab w:val="clear" w:pos="4320"/>
                <w:tab w:val="clear" w:pos="8640"/>
              </w:tabs>
              <w:jc w:val="both"/>
            </w:pPr>
          </w:p>
          <w:p w14:paraId="6E54C232" w14:textId="7A52595E" w:rsidR="0066709C" w:rsidRPr="009C36CD" w:rsidRDefault="00FD0305" w:rsidP="00DF28B9">
            <w:pPr>
              <w:pStyle w:val="Header"/>
              <w:tabs>
                <w:tab w:val="clear" w:pos="4320"/>
                <w:tab w:val="clear" w:pos="8640"/>
              </w:tabs>
              <w:jc w:val="both"/>
            </w:pPr>
            <w:r>
              <w:t xml:space="preserve">H.B. </w:t>
            </w:r>
            <w:r w:rsidR="00F477E3">
              <w:t>1495</w:t>
            </w:r>
            <w:r>
              <w:t xml:space="preserve"> requires TFC and </w:t>
            </w:r>
            <w:r w:rsidR="00D72D28">
              <w:t xml:space="preserve">the </w:t>
            </w:r>
            <w:r>
              <w:t>THECB, n</w:t>
            </w:r>
            <w:r w:rsidRPr="007B2DB4">
              <w:t>ot later than December 2, 202</w:t>
            </w:r>
            <w:r w:rsidR="00F477E3">
              <w:t>4</w:t>
            </w:r>
            <w:r w:rsidRPr="007B2DB4">
              <w:t xml:space="preserve">, </w:t>
            </w:r>
            <w:r>
              <w:t>to</w:t>
            </w:r>
            <w:r w:rsidR="00010A7C">
              <w:t xml:space="preserve"> submit</w:t>
            </w:r>
            <w:r w:rsidRPr="007B2DB4">
              <w:t xml:space="preserve"> a report to each member of the legislature that includes the results of the studies and any recommendations related to the studies and statutory changes necessary to authorize leasing space to artists for the practice and performance of their arts at stat</w:t>
            </w:r>
            <w:r w:rsidRPr="007B2DB4">
              <w:t>e agencies and public institutions of higher education.</w:t>
            </w:r>
            <w:r w:rsidR="00211649">
              <w:t xml:space="preserve"> The bill's provisions expire September 1, 202</w:t>
            </w:r>
            <w:r w:rsidR="00F477E3">
              <w:t>5</w:t>
            </w:r>
            <w:r w:rsidR="00211649">
              <w:t>.</w:t>
            </w:r>
          </w:p>
          <w:p w14:paraId="44AAD9DF" w14:textId="77777777" w:rsidR="008423E4" w:rsidRPr="00835628" w:rsidRDefault="008423E4" w:rsidP="00DF28B9">
            <w:pPr>
              <w:rPr>
                <w:b/>
              </w:rPr>
            </w:pPr>
          </w:p>
        </w:tc>
      </w:tr>
      <w:tr w:rsidR="009D137A" w14:paraId="0D2A2AA4" w14:textId="77777777" w:rsidTr="00345119">
        <w:tc>
          <w:tcPr>
            <w:tcW w:w="9576" w:type="dxa"/>
          </w:tcPr>
          <w:p w14:paraId="4B9E9B2E" w14:textId="77777777" w:rsidR="008423E4" w:rsidRPr="00A8133F" w:rsidRDefault="00FD0305" w:rsidP="00DF28B9">
            <w:pPr>
              <w:rPr>
                <w:b/>
              </w:rPr>
            </w:pPr>
            <w:r w:rsidRPr="009C1E9A">
              <w:rPr>
                <w:b/>
                <w:u w:val="single"/>
              </w:rPr>
              <w:t>EFFECTIVE DATE</w:t>
            </w:r>
            <w:r>
              <w:rPr>
                <w:b/>
              </w:rPr>
              <w:t xml:space="preserve"> </w:t>
            </w:r>
          </w:p>
          <w:p w14:paraId="1EB402EA" w14:textId="77777777" w:rsidR="008423E4" w:rsidRDefault="008423E4" w:rsidP="00DF28B9"/>
          <w:p w14:paraId="7AE07E41" w14:textId="3605BCE5" w:rsidR="008423E4" w:rsidRPr="003624F2" w:rsidRDefault="00FD0305" w:rsidP="00DF28B9">
            <w:pPr>
              <w:pStyle w:val="Header"/>
              <w:tabs>
                <w:tab w:val="clear" w:pos="4320"/>
                <w:tab w:val="clear" w:pos="8640"/>
              </w:tabs>
              <w:jc w:val="both"/>
            </w:pPr>
            <w:r>
              <w:t>On passage, or, if the bill does not receive the necessary vote, September 1, 202</w:t>
            </w:r>
            <w:r w:rsidR="00F477E3">
              <w:t>3</w:t>
            </w:r>
            <w:r>
              <w:t>.</w:t>
            </w:r>
          </w:p>
          <w:p w14:paraId="11588D1C" w14:textId="77777777" w:rsidR="008423E4" w:rsidRPr="00233FDB" w:rsidRDefault="008423E4" w:rsidP="00DF28B9">
            <w:pPr>
              <w:rPr>
                <w:b/>
              </w:rPr>
            </w:pPr>
          </w:p>
        </w:tc>
      </w:tr>
    </w:tbl>
    <w:p w14:paraId="25B28349" w14:textId="77777777" w:rsidR="008423E4" w:rsidRPr="00BE0E75" w:rsidRDefault="008423E4" w:rsidP="00DF28B9">
      <w:pPr>
        <w:jc w:val="both"/>
        <w:rPr>
          <w:rFonts w:ascii="Arial" w:hAnsi="Arial"/>
          <w:sz w:val="16"/>
          <w:szCs w:val="16"/>
        </w:rPr>
      </w:pPr>
    </w:p>
    <w:p w14:paraId="4C6359B7" w14:textId="77777777" w:rsidR="004108C3" w:rsidRPr="008423E4" w:rsidRDefault="004108C3" w:rsidP="00DF28B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8C59" w14:textId="77777777" w:rsidR="00000000" w:rsidRDefault="00FD0305">
      <w:r>
        <w:separator/>
      </w:r>
    </w:p>
  </w:endnote>
  <w:endnote w:type="continuationSeparator" w:id="0">
    <w:p w14:paraId="401A6BD0" w14:textId="77777777" w:rsidR="00000000" w:rsidRDefault="00FD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E61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D137A" w14:paraId="3025EAEA" w14:textId="77777777" w:rsidTr="009C1E9A">
      <w:trPr>
        <w:cantSplit/>
      </w:trPr>
      <w:tc>
        <w:tcPr>
          <w:tcW w:w="0" w:type="pct"/>
        </w:tcPr>
        <w:p w14:paraId="7730B9BE" w14:textId="77777777" w:rsidR="00137D90" w:rsidRDefault="00137D90" w:rsidP="009C1E9A">
          <w:pPr>
            <w:pStyle w:val="Footer"/>
            <w:tabs>
              <w:tab w:val="clear" w:pos="8640"/>
              <w:tab w:val="right" w:pos="9360"/>
            </w:tabs>
          </w:pPr>
        </w:p>
      </w:tc>
      <w:tc>
        <w:tcPr>
          <w:tcW w:w="2395" w:type="pct"/>
        </w:tcPr>
        <w:p w14:paraId="23529760" w14:textId="77777777" w:rsidR="00137D90" w:rsidRDefault="00137D90" w:rsidP="009C1E9A">
          <w:pPr>
            <w:pStyle w:val="Footer"/>
            <w:tabs>
              <w:tab w:val="clear" w:pos="8640"/>
              <w:tab w:val="right" w:pos="9360"/>
            </w:tabs>
          </w:pPr>
        </w:p>
        <w:p w14:paraId="32860056" w14:textId="77777777" w:rsidR="001A4310" w:rsidRDefault="001A4310" w:rsidP="009C1E9A">
          <w:pPr>
            <w:pStyle w:val="Footer"/>
            <w:tabs>
              <w:tab w:val="clear" w:pos="8640"/>
              <w:tab w:val="right" w:pos="9360"/>
            </w:tabs>
          </w:pPr>
        </w:p>
        <w:p w14:paraId="59C7C180" w14:textId="77777777" w:rsidR="00137D90" w:rsidRDefault="00137D90" w:rsidP="009C1E9A">
          <w:pPr>
            <w:pStyle w:val="Footer"/>
            <w:tabs>
              <w:tab w:val="clear" w:pos="8640"/>
              <w:tab w:val="right" w:pos="9360"/>
            </w:tabs>
          </w:pPr>
        </w:p>
      </w:tc>
      <w:tc>
        <w:tcPr>
          <w:tcW w:w="2453" w:type="pct"/>
        </w:tcPr>
        <w:p w14:paraId="5F5738AB" w14:textId="77777777" w:rsidR="00137D90" w:rsidRDefault="00137D90" w:rsidP="009C1E9A">
          <w:pPr>
            <w:pStyle w:val="Footer"/>
            <w:tabs>
              <w:tab w:val="clear" w:pos="8640"/>
              <w:tab w:val="right" w:pos="9360"/>
            </w:tabs>
            <w:jc w:val="right"/>
          </w:pPr>
        </w:p>
      </w:tc>
    </w:tr>
    <w:tr w:rsidR="009D137A" w14:paraId="0FA6D87D" w14:textId="77777777" w:rsidTr="009C1E9A">
      <w:trPr>
        <w:cantSplit/>
      </w:trPr>
      <w:tc>
        <w:tcPr>
          <w:tcW w:w="0" w:type="pct"/>
        </w:tcPr>
        <w:p w14:paraId="39B1D0F9" w14:textId="77777777" w:rsidR="00EC379B" w:rsidRDefault="00EC379B" w:rsidP="009C1E9A">
          <w:pPr>
            <w:pStyle w:val="Footer"/>
            <w:tabs>
              <w:tab w:val="clear" w:pos="8640"/>
              <w:tab w:val="right" w:pos="9360"/>
            </w:tabs>
          </w:pPr>
        </w:p>
      </w:tc>
      <w:tc>
        <w:tcPr>
          <w:tcW w:w="2395" w:type="pct"/>
        </w:tcPr>
        <w:p w14:paraId="75AAC29C" w14:textId="72AA5600" w:rsidR="00EC379B" w:rsidRPr="009C1E9A" w:rsidRDefault="00FD0305"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25818-D</w:t>
          </w:r>
        </w:p>
      </w:tc>
      <w:tc>
        <w:tcPr>
          <w:tcW w:w="2453" w:type="pct"/>
        </w:tcPr>
        <w:p w14:paraId="32F8D8ED" w14:textId="2158CE15" w:rsidR="00EC379B" w:rsidRDefault="00FD0305" w:rsidP="009C1E9A">
          <w:pPr>
            <w:pStyle w:val="Footer"/>
            <w:tabs>
              <w:tab w:val="clear" w:pos="8640"/>
              <w:tab w:val="right" w:pos="9360"/>
            </w:tabs>
            <w:jc w:val="right"/>
          </w:pPr>
          <w:r>
            <w:fldChar w:fldCharType="begin"/>
          </w:r>
          <w:r>
            <w:instrText xml:space="preserve"> DOCPROPERTY  OTID  \* MERGEFORMAT </w:instrText>
          </w:r>
          <w:r>
            <w:fldChar w:fldCharType="separate"/>
          </w:r>
          <w:r w:rsidR="008E0DD9">
            <w:t>23.115.2638</w:t>
          </w:r>
          <w:r>
            <w:fldChar w:fldCharType="end"/>
          </w:r>
        </w:p>
      </w:tc>
    </w:tr>
    <w:tr w:rsidR="009D137A" w14:paraId="56A12703" w14:textId="77777777" w:rsidTr="009C1E9A">
      <w:trPr>
        <w:cantSplit/>
      </w:trPr>
      <w:tc>
        <w:tcPr>
          <w:tcW w:w="0" w:type="pct"/>
        </w:tcPr>
        <w:p w14:paraId="0ECBE577" w14:textId="77777777" w:rsidR="00EC379B" w:rsidRDefault="00EC379B" w:rsidP="009C1E9A">
          <w:pPr>
            <w:pStyle w:val="Footer"/>
            <w:tabs>
              <w:tab w:val="clear" w:pos="4320"/>
              <w:tab w:val="clear" w:pos="8640"/>
              <w:tab w:val="left" w:pos="2865"/>
            </w:tabs>
          </w:pPr>
        </w:p>
      </w:tc>
      <w:tc>
        <w:tcPr>
          <w:tcW w:w="2395" w:type="pct"/>
        </w:tcPr>
        <w:p w14:paraId="3F2EC69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0859030" w14:textId="77777777" w:rsidR="00EC379B" w:rsidRDefault="00EC379B" w:rsidP="006D504F">
          <w:pPr>
            <w:pStyle w:val="Footer"/>
            <w:rPr>
              <w:rStyle w:val="PageNumber"/>
            </w:rPr>
          </w:pPr>
        </w:p>
        <w:p w14:paraId="1EF9222F" w14:textId="77777777" w:rsidR="00EC379B" w:rsidRDefault="00EC379B" w:rsidP="009C1E9A">
          <w:pPr>
            <w:pStyle w:val="Footer"/>
            <w:tabs>
              <w:tab w:val="clear" w:pos="8640"/>
              <w:tab w:val="right" w:pos="9360"/>
            </w:tabs>
            <w:jc w:val="right"/>
          </w:pPr>
        </w:p>
      </w:tc>
    </w:tr>
    <w:tr w:rsidR="009D137A" w14:paraId="567A43CA" w14:textId="77777777" w:rsidTr="009C1E9A">
      <w:trPr>
        <w:cantSplit/>
        <w:trHeight w:val="323"/>
      </w:trPr>
      <w:tc>
        <w:tcPr>
          <w:tcW w:w="0" w:type="pct"/>
          <w:gridSpan w:val="3"/>
        </w:tcPr>
        <w:p w14:paraId="7F627D6F" w14:textId="44DEEF6B" w:rsidR="00EC379B" w:rsidRDefault="00FD030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87F4A">
            <w:rPr>
              <w:rStyle w:val="PageNumber"/>
              <w:noProof/>
            </w:rPr>
            <w:t>1</w:t>
          </w:r>
          <w:r>
            <w:rPr>
              <w:rStyle w:val="PageNumber"/>
            </w:rPr>
            <w:fldChar w:fldCharType="end"/>
          </w:r>
        </w:p>
        <w:p w14:paraId="0072FDAB" w14:textId="77777777" w:rsidR="00EC379B" w:rsidRDefault="00EC379B" w:rsidP="009C1E9A">
          <w:pPr>
            <w:pStyle w:val="Footer"/>
            <w:tabs>
              <w:tab w:val="clear" w:pos="8640"/>
              <w:tab w:val="right" w:pos="9360"/>
            </w:tabs>
            <w:jc w:val="center"/>
          </w:pPr>
        </w:p>
      </w:tc>
    </w:tr>
  </w:tbl>
  <w:p w14:paraId="2B877ED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70B1"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767A" w14:textId="77777777" w:rsidR="00000000" w:rsidRDefault="00FD0305">
      <w:r>
        <w:separator/>
      </w:r>
    </w:p>
  </w:footnote>
  <w:footnote w:type="continuationSeparator" w:id="0">
    <w:p w14:paraId="3C7592AB" w14:textId="77777777" w:rsidR="00000000" w:rsidRDefault="00FD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979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8244"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D244"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B1DE7"/>
    <w:multiLevelType w:val="hybridMultilevel"/>
    <w:tmpl w:val="E24E7512"/>
    <w:lvl w:ilvl="0" w:tplc="8CAAE6BA">
      <w:start w:val="1"/>
      <w:numFmt w:val="bullet"/>
      <w:lvlText w:val=""/>
      <w:lvlJc w:val="left"/>
      <w:pPr>
        <w:tabs>
          <w:tab w:val="num" w:pos="720"/>
        </w:tabs>
        <w:ind w:left="720" w:hanging="360"/>
      </w:pPr>
      <w:rPr>
        <w:rFonts w:ascii="Symbol" w:hAnsi="Symbol" w:hint="default"/>
      </w:rPr>
    </w:lvl>
    <w:lvl w:ilvl="1" w:tplc="2886FEB6" w:tentative="1">
      <w:start w:val="1"/>
      <w:numFmt w:val="bullet"/>
      <w:lvlText w:val="o"/>
      <w:lvlJc w:val="left"/>
      <w:pPr>
        <w:ind w:left="1440" w:hanging="360"/>
      </w:pPr>
      <w:rPr>
        <w:rFonts w:ascii="Courier New" w:hAnsi="Courier New" w:cs="Courier New" w:hint="default"/>
      </w:rPr>
    </w:lvl>
    <w:lvl w:ilvl="2" w:tplc="449EDD22" w:tentative="1">
      <w:start w:val="1"/>
      <w:numFmt w:val="bullet"/>
      <w:lvlText w:val=""/>
      <w:lvlJc w:val="left"/>
      <w:pPr>
        <w:ind w:left="2160" w:hanging="360"/>
      </w:pPr>
      <w:rPr>
        <w:rFonts w:ascii="Wingdings" w:hAnsi="Wingdings" w:hint="default"/>
      </w:rPr>
    </w:lvl>
    <w:lvl w:ilvl="3" w:tplc="10FCCFFC" w:tentative="1">
      <w:start w:val="1"/>
      <w:numFmt w:val="bullet"/>
      <w:lvlText w:val=""/>
      <w:lvlJc w:val="left"/>
      <w:pPr>
        <w:ind w:left="2880" w:hanging="360"/>
      </w:pPr>
      <w:rPr>
        <w:rFonts w:ascii="Symbol" w:hAnsi="Symbol" w:hint="default"/>
      </w:rPr>
    </w:lvl>
    <w:lvl w:ilvl="4" w:tplc="A0B23A02" w:tentative="1">
      <w:start w:val="1"/>
      <w:numFmt w:val="bullet"/>
      <w:lvlText w:val="o"/>
      <w:lvlJc w:val="left"/>
      <w:pPr>
        <w:ind w:left="3600" w:hanging="360"/>
      </w:pPr>
      <w:rPr>
        <w:rFonts w:ascii="Courier New" w:hAnsi="Courier New" w:cs="Courier New" w:hint="default"/>
      </w:rPr>
    </w:lvl>
    <w:lvl w:ilvl="5" w:tplc="BFD614E6" w:tentative="1">
      <w:start w:val="1"/>
      <w:numFmt w:val="bullet"/>
      <w:lvlText w:val=""/>
      <w:lvlJc w:val="left"/>
      <w:pPr>
        <w:ind w:left="4320" w:hanging="360"/>
      </w:pPr>
      <w:rPr>
        <w:rFonts w:ascii="Wingdings" w:hAnsi="Wingdings" w:hint="default"/>
      </w:rPr>
    </w:lvl>
    <w:lvl w:ilvl="6" w:tplc="17DA5876" w:tentative="1">
      <w:start w:val="1"/>
      <w:numFmt w:val="bullet"/>
      <w:lvlText w:val=""/>
      <w:lvlJc w:val="left"/>
      <w:pPr>
        <w:ind w:left="5040" w:hanging="360"/>
      </w:pPr>
      <w:rPr>
        <w:rFonts w:ascii="Symbol" w:hAnsi="Symbol" w:hint="default"/>
      </w:rPr>
    </w:lvl>
    <w:lvl w:ilvl="7" w:tplc="3A08CC08" w:tentative="1">
      <w:start w:val="1"/>
      <w:numFmt w:val="bullet"/>
      <w:lvlText w:val="o"/>
      <w:lvlJc w:val="left"/>
      <w:pPr>
        <w:ind w:left="5760" w:hanging="360"/>
      </w:pPr>
      <w:rPr>
        <w:rFonts w:ascii="Courier New" w:hAnsi="Courier New" w:cs="Courier New" w:hint="default"/>
      </w:rPr>
    </w:lvl>
    <w:lvl w:ilvl="8" w:tplc="DA14AC8A" w:tentative="1">
      <w:start w:val="1"/>
      <w:numFmt w:val="bullet"/>
      <w:lvlText w:val=""/>
      <w:lvlJc w:val="left"/>
      <w:pPr>
        <w:ind w:left="6480" w:hanging="360"/>
      </w:pPr>
      <w:rPr>
        <w:rFonts w:ascii="Wingdings" w:hAnsi="Wingdings" w:hint="default"/>
      </w:rPr>
    </w:lvl>
  </w:abstractNum>
  <w:num w:numId="1" w16cid:durableId="138047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9C"/>
    <w:rsid w:val="00000A70"/>
    <w:rsid w:val="000032B8"/>
    <w:rsid w:val="00003B06"/>
    <w:rsid w:val="000054B9"/>
    <w:rsid w:val="00007461"/>
    <w:rsid w:val="00010A7C"/>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C1D"/>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7F4A"/>
    <w:rsid w:val="00090E6B"/>
    <w:rsid w:val="00091B2C"/>
    <w:rsid w:val="00092ABC"/>
    <w:rsid w:val="00097AAF"/>
    <w:rsid w:val="00097D13"/>
    <w:rsid w:val="000A4893"/>
    <w:rsid w:val="000A54E0"/>
    <w:rsid w:val="000A5F91"/>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6429"/>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D83"/>
    <w:rsid w:val="00184B03"/>
    <w:rsid w:val="00185C59"/>
    <w:rsid w:val="00187C1B"/>
    <w:rsid w:val="001908AC"/>
    <w:rsid w:val="00190CFB"/>
    <w:rsid w:val="0019457A"/>
    <w:rsid w:val="001951A7"/>
    <w:rsid w:val="00195257"/>
    <w:rsid w:val="00195388"/>
    <w:rsid w:val="0019539E"/>
    <w:rsid w:val="001968BC"/>
    <w:rsid w:val="001A0739"/>
    <w:rsid w:val="001A0F00"/>
    <w:rsid w:val="001A2BDD"/>
    <w:rsid w:val="001A3DDF"/>
    <w:rsid w:val="001A4310"/>
    <w:rsid w:val="001B053A"/>
    <w:rsid w:val="001B26D8"/>
    <w:rsid w:val="001B3BFA"/>
    <w:rsid w:val="001B61AB"/>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49"/>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076CF"/>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2F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3C03"/>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1BB"/>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843"/>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48D"/>
    <w:rsid w:val="00630963"/>
    <w:rsid w:val="00631897"/>
    <w:rsid w:val="00632928"/>
    <w:rsid w:val="006330DA"/>
    <w:rsid w:val="00633262"/>
    <w:rsid w:val="00633460"/>
    <w:rsid w:val="006402E7"/>
    <w:rsid w:val="00640CB6"/>
    <w:rsid w:val="00641B42"/>
    <w:rsid w:val="00645750"/>
    <w:rsid w:val="00650692"/>
    <w:rsid w:val="006508D3"/>
    <w:rsid w:val="00650AFA"/>
    <w:rsid w:val="006537C2"/>
    <w:rsid w:val="00662B77"/>
    <w:rsid w:val="00662D0E"/>
    <w:rsid w:val="00663265"/>
    <w:rsid w:val="0066345F"/>
    <w:rsid w:val="0066485B"/>
    <w:rsid w:val="0066709C"/>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1DB"/>
    <w:rsid w:val="0079487D"/>
    <w:rsid w:val="007966D4"/>
    <w:rsid w:val="00796A0A"/>
    <w:rsid w:val="0079792C"/>
    <w:rsid w:val="007A0989"/>
    <w:rsid w:val="007A331F"/>
    <w:rsid w:val="007A3798"/>
    <w:rsid w:val="007A3844"/>
    <w:rsid w:val="007A4381"/>
    <w:rsid w:val="007A5466"/>
    <w:rsid w:val="007A7EC1"/>
    <w:rsid w:val="007B2DB4"/>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46B"/>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ED7"/>
    <w:rsid w:val="00871775"/>
    <w:rsid w:val="00871AEF"/>
    <w:rsid w:val="008726E5"/>
    <w:rsid w:val="0087289E"/>
    <w:rsid w:val="00874C05"/>
    <w:rsid w:val="0087680A"/>
    <w:rsid w:val="008806EB"/>
    <w:rsid w:val="008826F2"/>
    <w:rsid w:val="008845BA"/>
    <w:rsid w:val="00885203"/>
    <w:rsid w:val="008859CA"/>
    <w:rsid w:val="008861EE"/>
    <w:rsid w:val="008872C4"/>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0DD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40B"/>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37A"/>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156"/>
    <w:rsid w:val="00AE2263"/>
    <w:rsid w:val="00AE248E"/>
    <w:rsid w:val="00AE2D12"/>
    <w:rsid w:val="00AE2F06"/>
    <w:rsid w:val="00AE4F1C"/>
    <w:rsid w:val="00AE5E75"/>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977"/>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5D45"/>
    <w:rsid w:val="00C7669F"/>
    <w:rsid w:val="00C76DFF"/>
    <w:rsid w:val="00C80B8F"/>
    <w:rsid w:val="00C82743"/>
    <w:rsid w:val="00C834CE"/>
    <w:rsid w:val="00C837FF"/>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6B01"/>
    <w:rsid w:val="00CF71E0"/>
    <w:rsid w:val="00D001B1"/>
    <w:rsid w:val="00D03176"/>
    <w:rsid w:val="00D060A8"/>
    <w:rsid w:val="00D06605"/>
    <w:rsid w:val="00D0720F"/>
    <w:rsid w:val="00D074E2"/>
    <w:rsid w:val="00D11B0B"/>
    <w:rsid w:val="00D12A3E"/>
    <w:rsid w:val="00D2097B"/>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D28"/>
    <w:rsid w:val="00D730FA"/>
    <w:rsid w:val="00D76631"/>
    <w:rsid w:val="00D768B7"/>
    <w:rsid w:val="00D77492"/>
    <w:rsid w:val="00D811E8"/>
    <w:rsid w:val="00D814B1"/>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F5D"/>
    <w:rsid w:val="00DD53E5"/>
    <w:rsid w:val="00DD5BCC"/>
    <w:rsid w:val="00DD7509"/>
    <w:rsid w:val="00DD79C7"/>
    <w:rsid w:val="00DD7D6E"/>
    <w:rsid w:val="00DE34B2"/>
    <w:rsid w:val="00DE49DE"/>
    <w:rsid w:val="00DE618B"/>
    <w:rsid w:val="00DE6EC2"/>
    <w:rsid w:val="00DF0834"/>
    <w:rsid w:val="00DF2707"/>
    <w:rsid w:val="00DF28B9"/>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D43"/>
    <w:rsid w:val="00E15F90"/>
    <w:rsid w:val="00E16D3E"/>
    <w:rsid w:val="00E17167"/>
    <w:rsid w:val="00E20520"/>
    <w:rsid w:val="00E21D55"/>
    <w:rsid w:val="00E21FDC"/>
    <w:rsid w:val="00E23EB9"/>
    <w:rsid w:val="00E2551E"/>
    <w:rsid w:val="00E26B13"/>
    <w:rsid w:val="00E27E5A"/>
    <w:rsid w:val="00E31135"/>
    <w:rsid w:val="00E317BA"/>
    <w:rsid w:val="00E3469B"/>
    <w:rsid w:val="00E3679D"/>
    <w:rsid w:val="00E3795D"/>
    <w:rsid w:val="00E40512"/>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477E3"/>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0305"/>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C50AB6-A66A-45CC-8257-11794385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6709C"/>
    <w:rPr>
      <w:sz w:val="16"/>
      <w:szCs w:val="16"/>
    </w:rPr>
  </w:style>
  <w:style w:type="paragraph" w:styleId="CommentText">
    <w:name w:val="annotation text"/>
    <w:basedOn w:val="Normal"/>
    <w:link w:val="CommentTextChar"/>
    <w:semiHidden/>
    <w:unhideWhenUsed/>
    <w:rsid w:val="0066709C"/>
    <w:rPr>
      <w:sz w:val="20"/>
      <w:szCs w:val="20"/>
    </w:rPr>
  </w:style>
  <w:style w:type="character" w:customStyle="1" w:styleId="CommentTextChar">
    <w:name w:val="Comment Text Char"/>
    <w:basedOn w:val="DefaultParagraphFont"/>
    <w:link w:val="CommentText"/>
    <w:semiHidden/>
    <w:rsid w:val="0066709C"/>
  </w:style>
  <w:style w:type="paragraph" w:styleId="CommentSubject">
    <w:name w:val="annotation subject"/>
    <w:basedOn w:val="CommentText"/>
    <w:next w:val="CommentText"/>
    <w:link w:val="CommentSubjectChar"/>
    <w:semiHidden/>
    <w:unhideWhenUsed/>
    <w:rsid w:val="0066709C"/>
    <w:rPr>
      <w:b/>
      <w:bCs/>
    </w:rPr>
  </w:style>
  <w:style w:type="character" w:customStyle="1" w:styleId="CommentSubjectChar">
    <w:name w:val="Comment Subject Char"/>
    <w:basedOn w:val="CommentTextChar"/>
    <w:link w:val="CommentSubject"/>
    <w:semiHidden/>
    <w:rsid w:val="0066709C"/>
    <w:rPr>
      <w:b/>
      <w:bCs/>
    </w:rPr>
  </w:style>
  <w:style w:type="paragraph" w:styleId="Revision">
    <w:name w:val="Revision"/>
    <w:hidden/>
    <w:uiPriority w:val="99"/>
    <w:semiHidden/>
    <w:rsid w:val="00D72D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2470</Characters>
  <Application>Microsoft Office Word</Application>
  <DocSecurity>4</DocSecurity>
  <Lines>62</Lines>
  <Paragraphs>20</Paragraphs>
  <ScaleCrop>false</ScaleCrop>
  <HeadingPairs>
    <vt:vector size="2" baseType="variant">
      <vt:variant>
        <vt:lpstr>Title</vt:lpstr>
      </vt:variant>
      <vt:variant>
        <vt:i4>1</vt:i4>
      </vt:variant>
    </vt:vector>
  </HeadingPairs>
  <TitlesOfParts>
    <vt:vector size="1" baseType="lpstr">
      <vt:lpstr>BA - HB01495 (Committee Report (Unamended))</vt:lpstr>
    </vt:vector>
  </TitlesOfParts>
  <Company>State of Texas</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25818</dc:subject>
  <dc:creator>State of Texas</dc:creator>
  <dc:description>HB 1495 by Guerra-(H)State Affairs</dc:description>
  <cp:lastModifiedBy>Stacey Nicchio</cp:lastModifiedBy>
  <cp:revision>2</cp:revision>
  <cp:lastPrinted>2003-11-26T17:21:00Z</cp:lastPrinted>
  <dcterms:created xsi:type="dcterms:W3CDTF">2023-04-27T17:09:00Z</dcterms:created>
  <dcterms:modified xsi:type="dcterms:W3CDTF">2023-04-27T17:09:00Z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23.115.2638</vt:lpwstr>
  </property>
</Properties>
</file>