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74B4C" w14:paraId="2E062999" w14:textId="77777777" w:rsidTr="00345119">
        <w:tc>
          <w:tcPr>
            <w:tcW w:w="9576" w:type="dxa"/>
            <w:noWrap/>
          </w:tcPr>
          <w:p w14:paraId="597664CE" w14:textId="77777777" w:rsidR="008423E4" w:rsidRPr="0022177D" w:rsidRDefault="005040E6" w:rsidP="00374812">
            <w:pPr>
              <w:pStyle w:val="Heading1"/>
            </w:pPr>
            <w:r w:rsidRPr="00631897">
              <w:t>BILL ANALYSIS</w:t>
            </w:r>
          </w:p>
        </w:tc>
      </w:tr>
    </w:tbl>
    <w:p w14:paraId="3D76A89A" w14:textId="77777777" w:rsidR="008423E4" w:rsidRPr="0022177D" w:rsidRDefault="008423E4" w:rsidP="00374812">
      <w:pPr>
        <w:jc w:val="center"/>
      </w:pPr>
    </w:p>
    <w:p w14:paraId="0C2EE381" w14:textId="77777777" w:rsidR="008423E4" w:rsidRPr="00B31F0E" w:rsidRDefault="008423E4" w:rsidP="00374812"/>
    <w:p w14:paraId="7DDA913E" w14:textId="77777777" w:rsidR="008423E4" w:rsidRPr="00742794" w:rsidRDefault="008423E4" w:rsidP="0037481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4B4C" w14:paraId="1F0B9F21" w14:textId="77777777" w:rsidTr="00345119">
        <w:tc>
          <w:tcPr>
            <w:tcW w:w="9576" w:type="dxa"/>
          </w:tcPr>
          <w:p w14:paraId="4502FF5E" w14:textId="3714D3B0" w:rsidR="008423E4" w:rsidRPr="00861995" w:rsidRDefault="005040E6" w:rsidP="00374812">
            <w:pPr>
              <w:jc w:val="right"/>
            </w:pPr>
            <w:r>
              <w:t>C.S.H.B. 1500</w:t>
            </w:r>
          </w:p>
        </w:tc>
      </w:tr>
      <w:tr w:rsidR="00774B4C" w14:paraId="25C1C0CF" w14:textId="77777777" w:rsidTr="00345119">
        <w:tc>
          <w:tcPr>
            <w:tcW w:w="9576" w:type="dxa"/>
          </w:tcPr>
          <w:p w14:paraId="1BE470A2" w14:textId="171CDBE9" w:rsidR="008423E4" w:rsidRPr="00861995" w:rsidRDefault="005040E6" w:rsidP="00374812">
            <w:pPr>
              <w:jc w:val="right"/>
            </w:pPr>
            <w:r>
              <w:t xml:space="preserve">By: </w:t>
            </w:r>
            <w:r w:rsidR="00E9580E">
              <w:t>Holland</w:t>
            </w:r>
          </w:p>
        </w:tc>
      </w:tr>
      <w:tr w:rsidR="00774B4C" w14:paraId="68D36406" w14:textId="77777777" w:rsidTr="00345119">
        <w:tc>
          <w:tcPr>
            <w:tcW w:w="9576" w:type="dxa"/>
          </w:tcPr>
          <w:p w14:paraId="150E8365" w14:textId="1BFBA78D" w:rsidR="008423E4" w:rsidRPr="00861995" w:rsidRDefault="005040E6" w:rsidP="00374812">
            <w:pPr>
              <w:jc w:val="right"/>
            </w:pPr>
            <w:r>
              <w:t>State Affairs</w:t>
            </w:r>
          </w:p>
        </w:tc>
      </w:tr>
      <w:tr w:rsidR="00774B4C" w14:paraId="77F48BF9" w14:textId="77777777" w:rsidTr="00345119">
        <w:tc>
          <w:tcPr>
            <w:tcW w:w="9576" w:type="dxa"/>
          </w:tcPr>
          <w:p w14:paraId="10B12C13" w14:textId="6FC8926C" w:rsidR="008423E4" w:rsidRDefault="005040E6" w:rsidP="00374812">
            <w:pPr>
              <w:jc w:val="right"/>
            </w:pPr>
            <w:r>
              <w:t>Committee Report (Substituted)</w:t>
            </w:r>
          </w:p>
        </w:tc>
      </w:tr>
    </w:tbl>
    <w:p w14:paraId="7BAABCB3" w14:textId="77777777" w:rsidR="008423E4" w:rsidRDefault="008423E4" w:rsidP="00374812">
      <w:pPr>
        <w:tabs>
          <w:tab w:val="right" w:pos="9360"/>
        </w:tabs>
      </w:pPr>
    </w:p>
    <w:p w14:paraId="601618EF" w14:textId="77777777" w:rsidR="008423E4" w:rsidRDefault="008423E4" w:rsidP="00374812"/>
    <w:p w14:paraId="4AC7770B" w14:textId="77777777" w:rsidR="008423E4" w:rsidRDefault="008423E4" w:rsidP="0037481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74B4C" w14:paraId="2A9A3AF1" w14:textId="77777777" w:rsidTr="00374812">
        <w:tc>
          <w:tcPr>
            <w:tcW w:w="9360" w:type="dxa"/>
          </w:tcPr>
          <w:p w14:paraId="612EC240" w14:textId="77777777" w:rsidR="008423E4" w:rsidRPr="00A8133F" w:rsidRDefault="005040E6" w:rsidP="0037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9DF089C" w14:textId="77777777" w:rsidR="008423E4" w:rsidRDefault="008423E4" w:rsidP="00374812"/>
          <w:p w14:paraId="5C5A3012" w14:textId="25D931D3" w:rsidR="008423E4" w:rsidRDefault="005040E6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E509D">
              <w:t>The Public Utility Commission of Texas (PUC) oversees the electric, water and wastewater, and telecommunications utilities</w:t>
            </w:r>
            <w:r>
              <w:t xml:space="preserve"> in Texas</w:t>
            </w:r>
            <w:r w:rsidRPr="00EE509D">
              <w:t xml:space="preserve"> and has complete authority to oversee ERCOT. Following Winter Storm Uri in 2021, the </w:t>
            </w:r>
            <w:r>
              <w:t>l</w:t>
            </w:r>
            <w:r w:rsidRPr="00EE509D">
              <w:t xml:space="preserve">egislature made numerous changes to the electric industry and moved up the </w:t>
            </w:r>
            <w:r>
              <w:t>next s</w:t>
            </w:r>
            <w:r w:rsidRPr="00EE509D">
              <w:t xml:space="preserve">unset </w:t>
            </w:r>
            <w:r>
              <w:t>review of the</w:t>
            </w:r>
            <w:r w:rsidRPr="00EE509D">
              <w:t xml:space="preserve"> PUC, ERCOT, and the Office of Public Utility Counsel (OPUC)</w:t>
            </w:r>
            <w:r w:rsidRPr="00EE509D">
              <w:t xml:space="preserve"> to keep a close watch on </w:t>
            </w:r>
            <w:r>
              <w:t xml:space="preserve">these </w:t>
            </w:r>
            <w:r w:rsidRPr="00EE509D">
              <w:t xml:space="preserve">changes. Overall, the Sunset </w:t>
            </w:r>
            <w:r>
              <w:t xml:space="preserve">Advisory </w:t>
            </w:r>
            <w:r w:rsidRPr="00EE509D">
              <w:t xml:space="preserve">Commission found </w:t>
            </w:r>
            <w:r>
              <w:t xml:space="preserve">that the </w:t>
            </w:r>
            <w:r w:rsidRPr="00EE509D">
              <w:t xml:space="preserve">PUC was </w:t>
            </w:r>
            <w:r w:rsidR="00904C45" w:rsidRPr="00EE509D">
              <w:t>ill prepared</w:t>
            </w:r>
            <w:r w:rsidRPr="00EE509D">
              <w:t xml:space="preserve"> to become a more active overseer of ERCOT and market participants following Winter Storm Uri</w:t>
            </w:r>
            <w:r w:rsidR="00904C45">
              <w:t>.</w:t>
            </w:r>
            <w:r w:rsidRPr="00EE509D">
              <w:t xml:space="preserve"> </w:t>
            </w:r>
            <w:r>
              <w:t>The sunset commission also found that the PUC</w:t>
            </w:r>
            <w:r w:rsidRPr="00EE509D">
              <w:t xml:space="preserve"> is underresourced given its critical responsibilities and the work that still lies ahead. Beyond additional resources, the </w:t>
            </w:r>
            <w:r>
              <w:t>s</w:t>
            </w:r>
            <w:r w:rsidRPr="00EE509D">
              <w:t xml:space="preserve">unset </w:t>
            </w:r>
            <w:r>
              <w:t>c</w:t>
            </w:r>
            <w:r w:rsidRPr="00EE509D">
              <w:t>ommission found</w:t>
            </w:r>
            <w:r>
              <w:t xml:space="preserve"> that the</w:t>
            </w:r>
            <w:r w:rsidRPr="00EE509D">
              <w:t xml:space="preserve"> PUC needs more formalized structures and processes when giving ERCOT direction and recommend</w:t>
            </w:r>
            <w:r>
              <w:t>ed</w:t>
            </w:r>
            <w:r w:rsidRPr="00EE509D">
              <w:t xml:space="preserve"> chan</w:t>
            </w:r>
            <w:r w:rsidRPr="00EE509D">
              <w:t xml:space="preserve">ges to enhance the transparency of </w:t>
            </w:r>
            <w:r>
              <w:t>PUC</w:t>
            </w:r>
            <w:r w:rsidRPr="00EE509D">
              <w:t xml:space="preserve"> decision</w:t>
            </w:r>
            <w:r w:rsidR="00C37A93">
              <w:t>-</w:t>
            </w:r>
            <w:r w:rsidRPr="00EE509D">
              <w:t xml:space="preserve">making. Other recommendations </w:t>
            </w:r>
            <w:r>
              <w:t xml:space="preserve">made by the sunset commission </w:t>
            </w:r>
            <w:r w:rsidRPr="00EE509D">
              <w:t xml:space="preserve">seek to improve </w:t>
            </w:r>
            <w:r>
              <w:t xml:space="preserve">the </w:t>
            </w:r>
            <w:r w:rsidRPr="00EE509D">
              <w:t>PUC</w:t>
            </w:r>
            <w:r w:rsidR="00C37A93">
              <w:t>'</w:t>
            </w:r>
            <w:r w:rsidRPr="00EE509D">
              <w:t xml:space="preserve">s water and wastewater regulation, </w:t>
            </w:r>
            <w:r>
              <w:t xml:space="preserve">as well as its </w:t>
            </w:r>
            <w:r w:rsidRPr="00EE509D">
              <w:t xml:space="preserve">public communications and data management. </w:t>
            </w:r>
            <w:r>
              <w:t>C.S.H.B. 1500 seeks to continue</w:t>
            </w:r>
            <w:r>
              <w:t xml:space="preserve"> the </w:t>
            </w:r>
            <w:r w:rsidRPr="00EE509D">
              <w:t>PUC and OPUC</w:t>
            </w:r>
            <w:r>
              <w:t xml:space="preserve"> until 2029,</w:t>
            </w:r>
            <w:r w:rsidR="006F4E47">
              <w:t xml:space="preserve"> </w:t>
            </w:r>
            <w:r w:rsidR="006F4E47" w:rsidRPr="00A20F40">
              <w:t>which,</w:t>
            </w:r>
            <w:r w:rsidR="006F4E47">
              <w:t xml:space="preserve"> in turn, also sets the next sunset review of ERCOT for the 2028-2029 review cycle. C.S.H.B. 1500 </w:t>
            </w:r>
            <w:r w:rsidR="00904C45">
              <w:t xml:space="preserve">also </w:t>
            </w:r>
            <w:r w:rsidR="006F4E47">
              <w:t>seeks to revise the provisions governing these entities to implement certain of the sunset commission's recommendations.</w:t>
            </w:r>
          </w:p>
          <w:p w14:paraId="0AF315DB" w14:textId="77777777" w:rsidR="008423E4" w:rsidRPr="00E26B13" w:rsidRDefault="008423E4" w:rsidP="00374812">
            <w:pPr>
              <w:rPr>
                <w:b/>
              </w:rPr>
            </w:pPr>
          </w:p>
        </w:tc>
      </w:tr>
      <w:tr w:rsidR="00774B4C" w14:paraId="0C90B263" w14:textId="77777777" w:rsidTr="00374812">
        <w:tc>
          <w:tcPr>
            <w:tcW w:w="9360" w:type="dxa"/>
          </w:tcPr>
          <w:p w14:paraId="79D3F4DB" w14:textId="77777777" w:rsidR="0017725B" w:rsidRDefault="005040E6" w:rsidP="00374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365766F" w14:textId="77777777" w:rsidR="0017725B" w:rsidRDefault="0017725B" w:rsidP="00374812">
            <w:pPr>
              <w:rPr>
                <w:b/>
                <w:u w:val="single"/>
              </w:rPr>
            </w:pPr>
          </w:p>
          <w:p w14:paraId="230BD337" w14:textId="17B2A8F1" w:rsidR="00AC6DE6" w:rsidRPr="00AC6DE6" w:rsidRDefault="005040E6" w:rsidP="0037481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14:paraId="4465B2FF" w14:textId="77777777" w:rsidR="0017725B" w:rsidRPr="0017725B" w:rsidRDefault="0017725B" w:rsidP="00374812">
            <w:pPr>
              <w:rPr>
                <w:b/>
                <w:u w:val="single"/>
              </w:rPr>
            </w:pPr>
          </w:p>
        </w:tc>
      </w:tr>
      <w:tr w:rsidR="00774B4C" w14:paraId="7611F60D" w14:textId="77777777" w:rsidTr="00374812">
        <w:tc>
          <w:tcPr>
            <w:tcW w:w="9360" w:type="dxa"/>
          </w:tcPr>
          <w:p w14:paraId="261839F6" w14:textId="77777777" w:rsidR="008423E4" w:rsidRPr="00A8133F" w:rsidRDefault="005040E6" w:rsidP="0037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745C7A" w14:textId="77777777" w:rsidR="008423E4" w:rsidRDefault="008423E4" w:rsidP="00374812"/>
          <w:p w14:paraId="4DC98A7E" w14:textId="032CFACF" w:rsidR="00AC6DE6" w:rsidRDefault="005040E6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Public Utility Commission of Texas in SECTION 9 of this bill.</w:t>
            </w:r>
          </w:p>
          <w:p w14:paraId="4DE8C673" w14:textId="77777777" w:rsidR="008423E4" w:rsidRPr="00E21FDC" w:rsidRDefault="008423E4" w:rsidP="00374812">
            <w:pPr>
              <w:rPr>
                <w:b/>
              </w:rPr>
            </w:pPr>
          </w:p>
        </w:tc>
      </w:tr>
      <w:tr w:rsidR="00774B4C" w14:paraId="4D14586A" w14:textId="77777777" w:rsidTr="00374812">
        <w:tc>
          <w:tcPr>
            <w:tcW w:w="9360" w:type="dxa"/>
          </w:tcPr>
          <w:p w14:paraId="2A194D7B" w14:textId="77777777" w:rsidR="008423E4" w:rsidRPr="00A8133F" w:rsidRDefault="005040E6" w:rsidP="0037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7BE2BCC" w14:textId="77777777" w:rsidR="008423E4" w:rsidRDefault="008423E4" w:rsidP="00374812"/>
          <w:p w14:paraId="45A2E8DB" w14:textId="5D4CFAB6" w:rsidR="009C36CD" w:rsidRDefault="005040E6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2D4F94">
              <w:t>H.B. 1500 amends the Utilities Code to continue the Public Utility Commission of Texas (PUC) and the Office of Public Utility Counsel (OPUC) under the Texas Sunset Act until September</w:t>
            </w:r>
            <w:r w:rsidR="0004624B">
              <w:t> </w:t>
            </w:r>
            <w:r w:rsidR="002D4F94">
              <w:t>1, 2029</w:t>
            </w:r>
            <w:r w:rsidR="008542F5">
              <w:t xml:space="preserve">, </w:t>
            </w:r>
            <w:r w:rsidR="008542F5" w:rsidRPr="00A20F40">
              <w:t>which,</w:t>
            </w:r>
            <w:r w:rsidR="008542F5">
              <w:t xml:space="preserve"> in turn, </w:t>
            </w:r>
            <w:r w:rsidR="00B36488">
              <w:t xml:space="preserve">also </w:t>
            </w:r>
            <w:r w:rsidR="008542F5">
              <w:t>sets the next sunset review of ERCOT for the 2028</w:t>
            </w:r>
            <w:r w:rsidR="00401749">
              <w:noBreakHyphen/>
            </w:r>
            <w:r w:rsidR="008542F5">
              <w:t xml:space="preserve">2029 review cycle. </w:t>
            </w:r>
            <w:r w:rsidR="002D4F94">
              <w:t xml:space="preserve">The bill removes language subjecting </w:t>
            </w:r>
            <w:r w:rsidR="00D652FF">
              <w:t xml:space="preserve">the Public Utility Regulatory Act </w:t>
            </w:r>
            <w:r w:rsidR="008542F5" w:rsidRPr="00D652FF">
              <w:t xml:space="preserve"> and </w:t>
            </w:r>
            <w:r w:rsidR="00D652FF">
              <w:t xml:space="preserve">statutory provisions governing </w:t>
            </w:r>
            <w:r w:rsidR="008542F5" w:rsidRPr="00D652FF">
              <w:t>OPUC</w:t>
            </w:r>
            <w:r w:rsidR="002D4F94">
              <w:t xml:space="preserve"> to expiration under th</w:t>
            </w:r>
            <w:r w:rsidR="00B45B31">
              <w:t>e Texas Sunset A</w:t>
            </w:r>
            <w:r w:rsidR="002D4F94">
              <w:t xml:space="preserve">ct and further </w:t>
            </w:r>
            <w:r>
              <w:t>sets out and revises provisions governing the PUC and ERCOT as d</w:t>
            </w:r>
            <w:r>
              <w:t>etailed below.</w:t>
            </w:r>
          </w:p>
          <w:p w14:paraId="0BD59455" w14:textId="77777777" w:rsidR="00866786" w:rsidRDefault="00866786" w:rsidP="00374812">
            <w:pPr>
              <w:pStyle w:val="Header"/>
              <w:jc w:val="both"/>
            </w:pPr>
          </w:p>
          <w:p w14:paraId="4ECAF42F" w14:textId="19575DA2" w:rsidR="00FD7B82" w:rsidRDefault="005040E6" w:rsidP="00374812">
            <w:pPr>
              <w:pStyle w:val="Header"/>
              <w:jc w:val="both"/>
            </w:pPr>
            <w:r>
              <w:t xml:space="preserve">C.S.H.B. 1500 </w:t>
            </w:r>
            <w:r w:rsidR="002D4F94" w:rsidRPr="0019168A">
              <w:t>adds</w:t>
            </w:r>
            <w:r w:rsidR="002D4F94">
              <w:t xml:space="preserve"> an additional PUC </w:t>
            </w:r>
            <w:r w:rsidR="00A83455">
              <w:t>commissioner</w:t>
            </w:r>
            <w:r w:rsidR="002D4F94">
              <w:t xml:space="preserve"> as a</w:t>
            </w:r>
            <w:r w:rsidR="008B6DBF">
              <w:t>n ex officio</w:t>
            </w:r>
            <w:r w:rsidR="002D4F94">
              <w:t xml:space="preserve"> nonvoting member </w:t>
            </w:r>
            <w:r w:rsidR="00955900">
              <w:t>of</w:t>
            </w:r>
            <w:r w:rsidR="002D4F94">
              <w:t xml:space="preserve"> ERCOT</w:t>
            </w:r>
            <w:r w:rsidR="00BB70B2">
              <w:t>'</w:t>
            </w:r>
            <w:r w:rsidR="008B6DBF">
              <w:t xml:space="preserve">s </w:t>
            </w:r>
            <w:r w:rsidR="00A83455">
              <w:t>board of directors</w:t>
            </w:r>
            <w:r w:rsidR="00955900">
              <w:t xml:space="preserve">, </w:t>
            </w:r>
            <w:r w:rsidR="0019168A">
              <w:t>sets out</w:t>
            </w:r>
            <w:r w:rsidR="00955900">
              <w:t xml:space="preserve"> procedures for </w:t>
            </w:r>
            <w:r w:rsidR="003C4AD4">
              <w:t xml:space="preserve">the </w:t>
            </w:r>
            <w:r w:rsidR="007420F4">
              <w:t>PUC</w:t>
            </w:r>
            <w:r w:rsidR="00BB70B2">
              <w:t>'</w:t>
            </w:r>
            <w:r w:rsidR="007420F4">
              <w:t>s presiding officer</w:t>
            </w:r>
            <w:r w:rsidR="003C4AD4">
              <w:t xml:space="preserve"> to designate</w:t>
            </w:r>
            <w:r w:rsidR="00DB5E6A">
              <w:t xml:space="preserve"> </w:t>
            </w:r>
            <w:r w:rsidR="003C4AD4">
              <w:t>commissioner</w:t>
            </w:r>
            <w:r w:rsidR="00DB5E6A">
              <w:t>s</w:t>
            </w:r>
            <w:r w:rsidR="003C4AD4">
              <w:t xml:space="preserve"> to serve in this position for one-year term</w:t>
            </w:r>
            <w:r w:rsidR="00DB5E6A">
              <w:t>s</w:t>
            </w:r>
            <w:r w:rsidR="007420F4">
              <w:t xml:space="preserve">, </w:t>
            </w:r>
            <w:r w:rsidR="00BB70B2">
              <w:t xml:space="preserve">and provides for </w:t>
            </w:r>
            <w:r w:rsidR="007420F4">
              <w:t>th</w:t>
            </w:r>
            <w:r w:rsidR="00BB70B2">
              <w:t>e first</w:t>
            </w:r>
            <w:r w:rsidR="007420F4">
              <w:t xml:space="preserve"> </w:t>
            </w:r>
            <w:r w:rsidR="00DB5E6A">
              <w:t>designated</w:t>
            </w:r>
            <w:r w:rsidR="003C4AD4">
              <w:t xml:space="preserve"> </w:t>
            </w:r>
            <w:r w:rsidR="007420F4">
              <w:t>member</w:t>
            </w:r>
            <w:r w:rsidR="00BB70B2">
              <w:t>'</w:t>
            </w:r>
            <w:r w:rsidR="007420F4">
              <w:t xml:space="preserve">s term </w:t>
            </w:r>
            <w:r w:rsidR="003C4AD4">
              <w:t xml:space="preserve">to </w:t>
            </w:r>
            <w:r w:rsidR="007420F4">
              <w:t>begin January 1, 2024</w:t>
            </w:r>
            <w:r>
              <w:t>.</w:t>
            </w:r>
          </w:p>
          <w:p w14:paraId="1B9DD489" w14:textId="7A63F63A" w:rsidR="00866786" w:rsidRDefault="00866786" w:rsidP="00374812">
            <w:pPr>
              <w:pStyle w:val="Header"/>
              <w:jc w:val="both"/>
            </w:pPr>
          </w:p>
          <w:p w14:paraId="67EA04EE" w14:textId="77777777" w:rsidR="00374812" w:rsidRDefault="00374812" w:rsidP="00374812">
            <w:pPr>
              <w:pStyle w:val="Header"/>
              <w:jc w:val="both"/>
            </w:pPr>
          </w:p>
          <w:p w14:paraId="2BB72668" w14:textId="526F3D8D" w:rsidR="00DD05E1" w:rsidRDefault="005040E6" w:rsidP="00374812">
            <w:pPr>
              <w:pStyle w:val="Header"/>
              <w:jc w:val="both"/>
            </w:pPr>
            <w:r>
              <w:t>C.S.H.B. 1500 does the following with respect to directives from the PUC to ERCOT:</w:t>
            </w:r>
          </w:p>
          <w:p w14:paraId="7A230EE4" w14:textId="0966D56C" w:rsidR="00FD7B82" w:rsidRPr="00FD7B82" w:rsidRDefault="005040E6" w:rsidP="003748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specifies that</w:t>
            </w:r>
            <w:r w:rsidR="00A83455" w:rsidRPr="00FD7B82">
              <w:t xml:space="preserve"> the</w:t>
            </w:r>
            <w:r w:rsidR="002D4F94" w:rsidRPr="00FD7B82">
              <w:t xml:space="preserve"> PUC </w:t>
            </w:r>
            <w:r>
              <w:t>may</w:t>
            </w:r>
            <w:r w:rsidR="003221C1">
              <w:t xml:space="preserve"> </w:t>
            </w:r>
            <w:r>
              <w:t>direct ERCOT to tak</w:t>
            </w:r>
            <w:r>
              <w:t xml:space="preserve">e an official action only through a contested case, rulemaking, a memorandum, or a written order and expressly prohibits the PUC from issuing a </w:t>
            </w:r>
            <w:r w:rsidRPr="00475B57">
              <w:t>verbal directive</w:t>
            </w:r>
            <w:r w:rsidR="00DD05E1">
              <w:t xml:space="preserve"> except in an urgent </w:t>
            </w:r>
            <w:r w:rsidR="00DD05E1" w:rsidRPr="00DD05E1">
              <w:t xml:space="preserve">or emergency situation that poses an imminent threat to public health, public safety, or </w:t>
            </w:r>
            <w:r w:rsidR="00A84524" w:rsidRPr="00DD05E1">
              <w:t xml:space="preserve">power grid </w:t>
            </w:r>
            <w:r w:rsidR="00DD05E1" w:rsidRPr="00DD05E1">
              <w:t>reliability</w:t>
            </w:r>
            <w:r>
              <w:t>;</w:t>
            </w:r>
          </w:p>
          <w:p w14:paraId="0ADE9135" w14:textId="020380D1" w:rsidR="002D4F94" w:rsidRDefault="005040E6" w:rsidP="003748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requires the PUC to adopt rules that:</w:t>
            </w:r>
          </w:p>
          <w:p w14:paraId="31FCB624" w14:textId="5880F3AD" w:rsidR="00FD7B82" w:rsidRDefault="005040E6" w:rsidP="0037481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specify the types of directives the PUC may issue through a contested case, rulemaking, memorandum, or written order;</w:t>
            </w:r>
          </w:p>
          <w:p w14:paraId="40212850" w14:textId="63BE0987" w:rsidR="00FD7B82" w:rsidRDefault="005040E6" w:rsidP="00374812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establish the conditions under which </w:t>
            </w:r>
            <w:r w:rsidRPr="003221C1">
              <w:t xml:space="preserve">a </w:t>
            </w:r>
            <w:r w:rsidR="003221C1">
              <w:t xml:space="preserve">PUC </w:t>
            </w:r>
            <w:r w:rsidRPr="003221C1">
              <w:t>vote</w:t>
            </w:r>
            <w:r>
              <w:t xml:space="preserve"> is required before issuing a directive;</w:t>
            </w:r>
          </w:p>
          <w:p w14:paraId="4F80F5FA" w14:textId="49163B05" w:rsidR="00FD7B82" w:rsidRDefault="005040E6" w:rsidP="00374812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require that proposed directives be included as an item on a </w:t>
            </w:r>
            <w:r w:rsidR="00DD05E1">
              <w:t>PUC</w:t>
            </w:r>
            <w:r>
              <w:t xml:space="preserve"> meeting agenda and require the </w:t>
            </w:r>
            <w:r w:rsidR="00DD05E1">
              <w:t>PUC</w:t>
            </w:r>
            <w:r>
              <w:t xml:space="preserve"> to allow members of the public an opportunity to comment on the agen</w:t>
            </w:r>
            <w:r>
              <w:t>da item;</w:t>
            </w:r>
          </w:p>
          <w:p w14:paraId="5B717BF6" w14:textId="2FDFBCEE" w:rsidR="00FD7B82" w:rsidRDefault="005040E6" w:rsidP="00374812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establish a reasonable timeline for the release before a </w:t>
            </w:r>
            <w:r w:rsidR="00DD05E1">
              <w:t>PUC</w:t>
            </w:r>
            <w:r>
              <w:t xml:space="preserve"> meeting of discussion materials relevant to any proposed directives included as agenda items for that meeting</w:t>
            </w:r>
            <w:r w:rsidR="00DD05E1">
              <w:t>;</w:t>
            </w:r>
            <w:r w:rsidR="00A84524">
              <w:t xml:space="preserve"> and</w:t>
            </w:r>
          </w:p>
          <w:p w14:paraId="105AD39C" w14:textId="1AC7227D" w:rsidR="00DD05E1" w:rsidRDefault="005040E6" w:rsidP="00374812">
            <w:pPr>
              <w:pStyle w:val="Header"/>
              <w:numPr>
                <w:ilvl w:val="1"/>
                <w:numId w:val="1"/>
              </w:numPr>
              <w:jc w:val="both"/>
            </w:pPr>
            <w:r w:rsidRPr="00DD05E1">
              <w:t xml:space="preserve">establish criteria for determining whether a situation is urgent or an </w:t>
            </w:r>
            <w:r w:rsidRPr="00DD05E1">
              <w:t xml:space="preserve">emergency </w:t>
            </w:r>
            <w:r>
              <w:t>for purposes of issuing verbal directives</w:t>
            </w:r>
            <w:r w:rsidRPr="00DD05E1">
              <w:t xml:space="preserve"> and establish a process by which the </w:t>
            </w:r>
            <w:r>
              <w:t>PUC</w:t>
            </w:r>
            <w:r w:rsidRPr="00DD05E1">
              <w:t xml:space="preserve"> will issue</w:t>
            </w:r>
            <w:r>
              <w:t xml:space="preserve"> such</w:t>
            </w:r>
            <w:r w:rsidRPr="00DD05E1">
              <w:t xml:space="preserve"> directives to </w:t>
            </w:r>
            <w:r>
              <w:t>ERCOT;</w:t>
            </w:r>
            <w:r w:rsidR="00A84524">
              <w:t xml:space="preserve"> and</w:t>
            </w:r>
          </w:p>
          <w:p w14:paraId="35BF9D98" w14:textId="0E00C758" w:rsidR="00DD05E1" w:rsidRDefault="005040E6" w:rsidP="003748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requires the PUC, after using a verbal directive, </w:t>
            </w:r>
            <w:r w:rsidRPr="00DD05E1">
              <w:t xml:space="preserve">to provide written documentation of the directive to </w:t>
            </w:r>
            <w:r>
              <w:t>ERCOT not later tha</w:t>
            </w:r>
            <w:r>
              <w:t>n 72 hours after the applicable urgent or emergency situation ends</w:t>
            </w:r>
            <w:r w:rsidR="00866786">
              <w:t>.</w:t>
            </w:r>
          </w:p>
          <w:p w14:paraId="071356A6" w14:textId="77777777" w:rsidR="00866786" w:rsidRDefault="00866786" w:rsidP="00374812">
            <w:pPr>
              <w:pStyle w:val="Header"/>
              <w:jc w:val="both"/>
            </w:pPr>
          </w:p>
          <w:p w14:paraId="177554E1" w14:textId="57EDB742" w:rsidR="002D4F94" w:rsidRPr="00C64922" w:rsidRDefault="005040E6" w:rsidP="00374812">
            <w:pPr>
              <w:pStyle w:val="Header"/>
              <w:jc w:val="both"/>
            </w:pPr>
            <w:r>
              <w:t xml:space="preserve">C.S.H.B. 1500 </w:t>
            </w:r>
            <w:r w:rsidR="00F933C8" w:rsidRPr="00172C2B">
              <w:t>clarifies</w:t>
            </w:r>
            <w:r w:rsidR="008B6DBF" w:rsidRPr="00172C2B">
              <w:t xml:space="preserve"> that</w:t>
            </w:r>
            <w:r w:rsidRPr="00172C2B">
              <w:t xml:space="preserve"> </w:t>
            </w:r>
            <w:r w:rsidR="00F933C8" w:rsidRPr="00172C2B">
              <w:t>protocols</w:t>
            </w:r>
            <w:r w:rsidR="00F933C8">
              <w:t>, including rules,</w:t>
            </w:r>
            <w:r w:rsidR="00F933C8" w:rsidRPr="00F933C8">
              <w:t xml:space="preserve"> adopted</w:t>
            </w:r>
            <w:r w:rsidR="00E829C3">
              <w:t xml:space="preserve"> by ERCOT</w:t>
            </w:r>
            <w:r w:rsidR="00F933C8" w:rsidRPr="00F933C8">
              <w:t xml:space="preserve"> and enforcement actions taken by </w:t>
            </w:r>
            <w:r w:rsidR="00F933C8">
              <w:t>ERCOT</w:t>
            </w:r>
            <w:r w:rsidR="00F933C8" w:rsidRPr="00F933C8">
              <w:t xml:space="preserve"> under delegated authority from </w:t>
            </w:r>
            <w:r w:rsidR="00172C2B">
              <w:t xml:space="preserve">the </w:t>
            </w:r>
            <w:r w:rsidR="00F933C8">
              <w:t>PUC</w:t>
            </w:r>
            <w:r w:rsidR="00F933C8" w:rsidRPr="00F933C8">
              <w:t xml:space="preserve"> are subject to </w:t>
            </w:r>
            <w:r w:rsidR="00F933C8">
              <w:t>PUC</w:t>
            </w:r>
            <w:r w:rsidR="00F933C8" w:rsidRPr="00F933C8">
              <w:t xml:space="preserve"> oversight and review and may not take effect before receiving </w:t>
            </w:r>
            <w:r w:rsidR="00F933C8">
              <w:t>PUC</w:t>
            </w:r>
            <w:r w:rsidR="00F933C8" w:rsidRPr="00F933C8">
              <w:t xml:space="preserve"> approval</w:t>
            </w:r>
            <w:r w:rsidR="00731CDC">
              <w:t xml:space="preserve"> and further clarifies</w:t>
            </w:r>
            <w:r w:rsidR="00F933C8" w:rsidRPr="00172C2B">
              <w:t xml:space="preserve"> that</w:t>
            </w:r>
            <w:r w:rsidR="00F933C8">
              <w:t xml:space="preserve"> </w:t>
            </w:r>
            <w:r w:rsidR="008B6DBF">
              <w:t xml:space="preserve">the </w:t>
            </w:r>
            <w:r>
              <w:t>PUC</w:t>
            </w:r>
            <w:r w:rsidR="00172C2B">
              <w:t>'s</w:t>
            </w:r>
            <w:r>
              <w:t xml:space="preserve"> authority over ERCOT protocols includes the ability to </w:t>
            </w:r>
            <w:r w:rsidR="00A83455">
              <w:t xml:space="preserve">approve, </w:t>
            </w:r>
            <w:r>
              <w:t>reject</w:t>
            </w:r>
            <w:r w:rsidR="00A83455">
              <w:t>,</w:t>
            </w:r>
            <w:r>
              <w:t xml:space="preserve"> or remand them</w:t>
            </w:r>
            <w:r w:rsidR="00A83455">
              <w:t xml:space="preserve"> with suggested modi</w:t>
            </w:r>
            <w:r w:rsidR="00A83455" w:rsidRPr="00C64922">
              <w:t>fications</w:t>
            </w:r>
            <w:r>
              <w:t>.</w:t>
            </w:r>
          </w:p>
          <w:p w14:paraId="5BD8D034" w14:textId="77777777" w:rsidR="00866786" w:rsidRDefault="00866786" w:rsidP="00374812">
            <w:pPr>
              <w:pStyle w:val="Header"/>
              <w:jc w:val="both"/>
            </w:pPr>
          </w:p>
          <w:p w14:paraId="2ACF8C6C" w14:textId="4E4F249C" w:rsidR="00866786" w:rsidRDefault="005040E6" w:rsidP="00374812">
            <w:pPr>
              <w:pStyle w:val="Header"/>
              <w:jc w:val="both"/>
            </w:pPr>
            <w:r>
              <w:t xml:space="preserve">C.S.H.B. 1500 </w:t>
            </w:r>
            <w:r w:rsidR="00E67C67" w:rsidRPr="00BC74CE">
              <w:t>requires</w:t>
            </w:r>
            <w:r w:rsidR="00E67C67">
              <w:t xml:space="preserve"> the agenda for each regular PUC meeting to include public testimony as an agenda item </w:t>
            </w:r>
            <w:r w:rsidR="00E67C67" w:rsidRPr="00B0703B">
              <w:t>and requires the PUC</w:t>
            </w:r>
            <w:r w:rsidR="00E67C67">
              <w:t xml:space="preserve"> to allow the public to comment on each </w:t>
            </w:r>
            <w:r w:rsidR="00E67C67" w:rsidRPr="00BC74CE">
              <w:t>meeting</w:t>
            </w:r>
            <w:r w:rsidR="00E67C67">
              <w:t xml:space="preserve"> agenda item unrelated to a contested case and other matters under PUC jurisdiction, </w:t>
            </w:r>
            <w:r w:rsidR="00E67C67" w:rsidRPr="00C4604A">
              <w:t>except those concerning contested cases</w:t>
            </w:r>
            <w:r w:rsidR="00E67C67">
              <w:t xml:space="preserve">. The bill </w:t>
            </w:r>
            <w:r w:rsidR="002D4F94" w:rsidRPr="00C64922">
              <w:t xml:space="preserve">limits the topics </w:t>
            </w:r>
            <w:r w:rsidR="00A83455" w:rsidRPr="00C64922">
              <w:t xml:space="preserve">the </w:t>
            </w:r>
            <w:r w:rsidR="002D4F94" w:rsidRPr="00C64922">
              <w:t xml:space="preserve">ERCOT </w:t>
            </w:r>
            <w:r w:rsidR="00A83455" w:rsidRPr="00C64922">
              <w:t xml:space="preserve">board </w:t>
            </w:r>
            <w:r w:rsidR="002D4F94" w:rsidRPr="00C64922">
              <w:t>may discuss in executive session</w:t>
            </w:r>
            <w:r w:rsidR="00A83455" w:rsidRPr="00C64922">
              <w:t xml:space="preserve"> to only contracts, competitively sensitive information, information related to the security of the regional electrical network, or another matter the PUC would be authorized to consider in a closed meeting under state </w:t>
            </w:r>
            <w:r w:rsidR="008172D8">
              <w:t>open meetings</w:t>
            </w:r>
            <w:r w:rsidR="00A83455" w:rsidRPr="00C64922">
              <w:t xml:space="preserve"> law</w:t>
            </w:r>
            <w:r>
              <w:t>.</w:t>
            </w:r>
            <w:r w:rsidR="002D4F94" w:rsidRPr="00C64922">
              <w:t xml:space="preserve"> </w:t>
            </w:r>
            <w:r>
              <w:t xml:space="preserve">The bill </w:t>
            </w:r>
            <w:r w:rsidR="00922957" w:rsidRPr="00C64922">
              <w:t xml:space="preserve">provides for the authority of </w:t>
            </w:r>
            <w:r w:rsidR="002D4F94" w:rsidRPr="00C64922">
              <w:t>ERCOT</w:t>
            </w:r>
            <w:r w:rsidR="00475B57" w:rsidRPr="00C64922">
              <w:t>'s governing body or a subcommittee</w:t>
            </w:r>
            <w:r w:rsidR="002D4F94" w:rsidRPr="00C64922">
              <w:t xml:space="preserve"> to </w:t>
            </w:r>
            <w:r w:rsidR="00C64922">
              <w:t xml:space="preserve">close such a session to </w:t>
            </w:r>
            <w:r w:rsidR="00C64922" w:rsidRPr="00C64922">
              <w:t>PUC commissioners</w:t>
            </w:r>
            <w:r w:rsidR="00A83455" w:rsidRPr="00C64922">
              <w:t xml:space="preserve">, including the commissioners serving as ex officio ERCOT </w:t>
            </w:r>
            <w:r w:rsidR="005E1215" w:rsidRPr="00C64922">
              <w:t xml:space="preserve">board </w:t>
            </w:r>
            <w:r w:rsidR="00A83455" w:rsidRPr="00C64922">
              <w:t>members</w:t>
            </w:r>
            <w:r w:rsidR="00922957" w:rsidRPr="00C64922">
              <w:t xml:space="preserve">, in addition to </w:t>
            </w:r>
            <w:r w:rsidR="00C64922" w:rsidRPr="00C64922">
              <w:t>the public</w:t>
            </w:r>
            <w:r>
              <w:t>.</w:t>
            </w:r>
          </w:p>
          <w:p w14:paraId="1171D276" w14:textId="77777777" w:rsidR="00866786" w:rsidRPr="00C64922" w:rsidRDefault="00866786" w:rsidP="00374812">
            <w:pPr>
              <w:pStyle w:val="Header"/>
              <w:jc w:val="both"/>
            </w:pPr>
          </w:p>
          <w:p w14:paraId="1EF814C5" w14:textId="74E2FDCA" w:rsidR="002D4F94" w:rsidRPr="00C4604A" w:rsidRDefault="005040E6" w:rsidP="00374812">
            <w:pPr>
              <w:pStyle w:val="Header"/>
              <w:jc w:val="both"/>
            </w:pPr>
            <w:r>
              <w:t xml:space="preserve">C.S.H.B. 1500 </w:t>
            </w:r>
            <w:r w:rsidR="006C4EA6" w:rsidRPr="00C64922">
              <w:t>r</w:t>
            </w:r>
            <w:r w:rsidRPr="00C64922">
              <w:t>equires</w:t>
            </w:r>
            <w:r w:rsidR="006C4EA6" w:rsidRPr="00C64922">
              <w:t xml:space="preserve"> the</w:t>
            </w:r>
            <w:r w:rsidRPr="00C64922">
              <w:t xml:space="preserve"> PUC to develop and update</w:t>
            </w:r>
            <w:r>
              <w:t xml:space="preserve"> </w:t>
            </w:r>
            <w:r w:rsidR="00EB5FDD">
              <w:t xml:space="preserve">at least once every two years </w:t>
            </w:r>
            <w:r>
              <w:t>a</w:t>
            </w:r>
            <w:r w:rsidR="006C4EA6">
              <w:t>n agency</w:t>
            </w:r>
            <w:r w:rsidR="00D16DE8">
              <w:noBreakHyphen/>
            </w:r>
            <w:r w:rsidR="006C4EA6">
              <w:t>wide</w:t>
            </w:r>
            <w:r>
              <w:t xml:space="preserve"> strategic communication</w:t>
            </w:r>
            <w:r w:rsidR="00EB5FDD">
              <w:t>s</w:t>
            </w:r>
            <w:r>
              <w:t xml:space="preserve"> plan</w:t>
            </w:r>
            <w:r w:rsidR="006C4EA6">
              <w:t xml:space="preserve"> for improving the effectiveness of its communications with the public, market participants, and other relevant audience</w:t>
            </w:r>
            <w:r w:rsidR="00A84524">
              <w:t>s</w:t>
            </w:r>
            <w:r w:rsidR="006C4EA6">
              <w:t xml:space="preserve"> and responding to changing communications needs</w:t>
            </w:r>
            <w:r>
              <w:t>.</w:t>
            </w:r>
            <w:r w:rsidR="00C4604A">
              <w:t xml:space="preserve"> </w:t>
            </w:r>
            <w:r>
              <w:t>The PUC must</w:t>
            </w:r>
            <w:r w:rsidR="00C4604A" w:rsidRPr="00A20F40">
              <w:t xml:space="preserve"> include in that plan goals, objectives, and metrics to assess PUC efforts</w:t>
            </w:r>
            <w:r w:rsidR="00E67C67">
              <w:t>.</w:t>
            </w:r>
          </w:p>
          <w:p w14:paraId="2E419ADD" w14:textId="1C597274" w:rsidR="002D4F94" w:rsidRDefault="002D4F94" w:rsidP="00374812">
            <w:pPr>
              <w:pStyle w:val="Header"/>
              <w:jc w:val="both"/>
            </w:pPr>
          </w:p>
          <w:p w14:paraId="25DEED33" w14:textId="6AAE5A7C" w:rsidR="002D4F94" w:rsidRDefault="005040E6" w:rsidP="00374812">
            <w:pPr>
              <w:pStyle w:val="Header"/>
              <w:jc w:val="both"/>
            </w:pPr>
            <w:r>
              <w:t xml:space="preserve">C.S.H.B. 1500 does the following </w:t>
            </w:r>
            <w:r w:rsidR="006C4EA6">
              <w:t>with respect to</w:t>
            </w:r>
            <w:r>
              <w:t xml:space="preserve"> PUC and ERCOT reporting requirements</w:t>
            </w:r>
            <w:r w:rsidR="006C4EA6">
              <w:t>:</w:t>
            </w:r>
          </w:p>
          <w:p w14:paraId="152A0231" w14:textId="3884AA9E" w:rsidR="006C4EA6" w:rsidRDefault="005040E6" w:rsidP="003748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consolidates the PUC</w:t>
            </w:r>
            <w:r w:rsidR="00BB0096">
              <w:t>'</w:t>
            </w:r>
            <w:r>
              <w:t xml:space="preserve">s </w:t>
            </w:r>
            <w:r w:rsidRPr="00EC5B8D">
              <w:t>biennial reports</w:t>
            </w:r>
            <w:r>
              <w:t xml:space="preserve"> regarding the </w:t>
            </w:r>
            <w:r w:rsidRPr="006C4EA6">
              <w:t>scope of competition in the electric and telecommunications market</w:t>
            </w:r>
            <w:r>
              <w:t>s with the PUC</w:t>
            </w:r>
            <w:r w:rsidR="00BB0096">
              <w:t>'</w:t>
            </w:r>
            <w:r>
              <w:t>s general biennial report</w:t>
            </w:r>
            <w:r w:rsidR="00941D3B">
              <w:t>;</w:t>
            </w:r>
          </w:p>
          <w:p w14:paraId="54922F63" w14:textId="11DED3DC" w:rsidR="006C56FF" w:rsidRDefault="005040E6" w:rsidP="003748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clarifies that water and sewer service regulation is a </w:t>
            </w:r>
            <w:r>
              <w:t>type of utility regulation for which the PUC makes suggestions for improvement in its general biennial report;</w:t>
            </w:r>
          </w:p>
          <w:p w14:paraId="13BCE4C2" w14:textId="0EF4CBD3" w:rsidR="009A708E" w:rsidRDefault="005040E6" w:rsidP="003748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creates a new biennial PUC electric industry report</w:t>
            </w:r>
            <w:r w:rsidR="0037175B">
              <w:t>,</w:t>
            </w:r>
            <w:r>
              <w:t xml:space="preserve"> which must </w:t>
            </w:r>
            <w:r w:rsidR="0037175B">
              <w:t xml:space="preserve">be </w:t>
            </w:r>
            <w:r>
              <w:t>prepare</w:t>
            </w:r>
            <w:r w:rsidR="000741D6">
              <w:t>d</w:t>
            </w:r>
            <w:r>
              <w:t xml:space="preserve"> in consultation with ERCOT</w:t>
            </w:r>
            <w:r w:rsidR="0037175B">
              <w:t xml:space="preserve">, </w:t>
            </w:r>
            <w:r>
              <w:t>submit</w:t>
            </w:r>
            <w:r w:rsidR="0037175B">
              <w:t>ted</w:t>
            </w:r>
            <w:r>
              <w:t xml:space="preserve"> to the legislature</w:t>
            </w:r>
            <w:r w:rsidR="0037175B">
              <w:t>,</w:t>
            </w:r>
            <w:r w:rsidR="000741D6">
              <w:t xml:space="preserve"> and</w:t>
            </w:r>
            <w:r>
              <w:t xml:space="preserve"> present</w:t>
            </w:r>
            <w:r>
              <w:t xml:space="preserve">ed in plain language </w:t>
            </w:r>
            <w:r w:rsidRPr="000741D6">
              <w:t>and</w:t>
            </w:r>
            <w:r w:rsidR="000741D6" w:rsidRPr="00615FDD">
              <w:t xml:space="preserve"> must</w:t>
            </w:r>
            <w:r w:rsidR="0037175B" w:rsidRPr="000741D6">
              <w:t xml:space="preserve"> </w:t>
            </w:r>
            <w:r w:rsidR="00615FDD">
              <w:t>include</w:t>
            </w:r>
            <w:r w:rsidR="0037175B" w:rsidRPr="000741D6">
              <w:t xml:space="preserve"> </w:t>
            </w:r>
            <w:r w:rsidR="000741D6">
              <w:t>the following</w:t>
            </w:r>
            <w:r>
              <w:t>:</w:t>
            </w:r>
          </w:p>
          <w:p w14:paraId="25427229" w14:textId="5D2AE3BA" w:rsidR="009A708E" w:rsidRDefault="005040E6" w:rsidP="0037481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the information currently provided in the annual report</w:t>
            </w:r>
            <w:r w:rsidR="00FC39C9">
              <w:t xml:space="preserve"> submitted to the PUC by ERCOT</w:t>
            </w:r>
            <w:r>
              <w:t xml:space="preserve"> </w:t>
            </w:r>
            <w:r w:rsidR="00FC39C9">
              <w:t>regarding</w:t>
            </w:r>
            <w:r>
              <w:t xml:space="preserve"> transmission and distribution constraints and system needs, which is eliminated by the bill;</w:t>
            </w:r>
          </w:p>
          <w:p w14:paraId="40D0C94C" w14:textId="0229415E" w:rsidR="009A708E" w:rsidRDefault="005040E6" w:rsidP="00374812">
            <w:pPr>
              <w:pStyle w:val="Header"/>
              <w:numPr>
                <w:ilvl w:val="1"/>
                <w:numId w:val="1"/>
              </w:numPr>
              <w:jc w:val="both"/>
            </w:pPr>
            <w:r>
              <w:t>a summar</w:t>
            </w:r>
            <w:r w:rsidR="003C4933">
              <w:t>y</w:t>
            </w:r>
            <w:r>
              <w:t xml:space="preserve"> of k</w:t>
            </w:r>
            <w:r>
              <w:t xml:space="preserve">ey findings from </w:t>
            </w:r>
            <w:r w:rsidRPr="00681A58">
              <w:t xml:space="preserve">the biennial ERCOT grid reliability assessment </w:t>
            </w:r>
            <w:r>
              <w:t xml:space="preserve">and the report of the results of the biennial </w:t>
            </w:r>
            <w:r w:rsidRPr="009A708E">
              <w:t xml:space="preserve">study </w:t>
            </w:r>
            <w:r>
              <w:t xml:space="preserve">regarding </w:t>
            </w:r>
            <w:r w:rsidRPr="009A708E">
              <w:t xml:space="preserve">the need for increased transmission and generation capacity throughout </w:t>
            </w:r>
            <w:r>
              <w:t>Texas; and</w:t>
            </w:r>
          </w:p>
          <w:p w14:paraId="5F1E9864" w14:textId="3AAF9158" w:rsidR="00941D3B" w:rsidRDefault="005040E6" w:rsidP="00374812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an </w:t>
            </w:r>
            <w:r w:rsidR="009A708E">
              <w:t>outline</w:t>
            </w:r>
            <w:r>
              <w:t xml:space="preserve"> of</w:t>
            </w:r>
            <w:r w:rsidR="009A708E">
              <w:t xml:space="preserve"> basic information regarding the electric grid and market in Texas, including generation capacity, customer demand, and transmission capacity currently installed on the grid and projected in the future;</w:t>
            </w:r>
          </w:p>
          <w:p w14:paraId="2C2D6189" w14:textId="40857275" w:rsidR="00941D3B" w:rsidRDefault="005040E6" w:rsidP="003748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codifies the annual conflicts of interest report from</w:t>
            </w:r>
            <w:r>
              <w:t xml:space="preserve"> the PUC and ERCOT to </w:t>
            </w:r>
            <w:r w:rsidRPr="007420F4">
              <w:t xml:space="preserve">the legislature </w:t>
            </w:r>
            <w:r w:rsidRPr="00EB5734">
              <w:t>provided for in S.B. 3, 87th Legislature, Regular Session, 2021</w:t>
            </w:r>
            <w:r w:rsidR="00E40BD3">
              <w:t>; and</w:t>
            </w:r>
          </w:p>
          <w:p w14:paraId="5A25D898" w14:textId="04BD142E" w:rsidR="000E569D" w:rsidRDefault="005040E6" w:rsidP="003748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eliminates </w:t>
            </w:r>
            <w:r w:rsidR="00E40BD3">
              <w:t>t</w:t>
            </w:r>
            <w:r>
              <w:t xml:space="preserve">he biennial PUC report on </w:t>
            </w:r>
            <w:r w:rsidR="00EC5B8D">
              <w:t>usage</w:t>
            </w:r>
            <w:r w:rsidR="00E7798F">
              <w:t xml:space="preserve"> of the no-call list</w:t>
            </w:r>
            <w:r w:rsidR="00E40BD3">
              <w:t xml:space="preserve"> and </w:t>
            </w:r>
            <w:r w:rsidR="006B7F9C">
              <w:t>the biennial PUC report regarding</w:t>
            </w:r>
            <w:r w:rsidR="00E7798F">
              <w:t xml:space="preserve"> competitive</w:t>
            </w:r>
            <w:r w:rsidR="006B7F9C">
              <w:t xml:space="preserve"> renewable energy</w:t>
            </w:r>
            <w:r w:rsidR="00E7798F">
              <w:t xml:space="preserve"> zones</w:t>
            </w:r>
            <w:r w:rsidR="00E67C67">
              <w:t>.</w:t>
            </w:r>
          </w:p>
          <w:p w14:paraId="155DEF87" w14:textId="77777777" w:rsidR="00E67C67" w:rsidRDefault="00E67C67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151935" w14:textId="6D64D519" w:rsidR="002D4F94" w:rsidRDefault="005040E6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</w:t>
            </w:r>
            <w:r>
              <w:t xml:space="preserve">500 </w:t>
            </w:r>
            <w:r w:rsidR="000E569D">
              <w:t>updates PUC commissioner training requirements to apply certain of the Sunset Advisory Commission</w:t>
            </w:r>
            <w:r w:rsidR="00BB0096">
              <w:t>'</w:t>
            </w:r>
            <w:r w:rsidR="000E569D">
              <w:t>s across-the-board recommendations and provides for the transition to the new requirements for commissioners appointed before the bill</w:t>
            </w:r>
            <w:r w:rsidR="00BB0096">
              <w:t>'</w:t>
            </w:r>
            <w:r w:rsidR="000E569D">
              <w:t>s effective date</w:t>
            </w:r>
            <w:r w:rsidR="00911D63">
              <w:t>.</w:t>
            </w:r>
            <w:r>
              <w:t xml:space="preserve"> </w:t>
            </w:r>
            <w:r w:rsidRPr="00E67C67">
              <w:t>T</w:t>
            </w:r>
            <w:r w:rsidRPr="00E67C67">
              <w:t xml:space="preserve">he </w:t>
            </w:r>
            <w:r>
              <w:t xml:space="preserve">bill </w:t>
            </w:r>
            <w:r w:rsidRPr="00E67C67">
              <w:t>postpon</w:t>
            </w:r>
            <w:r>
              <w:t>es</w:t>
            </w:r>
            <w:r w:rsidRPr="00E67C67">
              <w:t xml:space="preserve"> </w:t>
            </w:r>
            <w:r w:rsidR="0077499F">
              <w:t xml:space="preserve">from September 1, 2023, </w:t>
            </w:r>
            <w:r w:rsidRPr="00E67C67">
              <w:t xml:space="preserve">until </w:t>
            </w:r>
            <w:r>
              <w:t xml:space="preserve">September 1, </w:t>
            </w:r>
            <w:r w:rsidRPr="00E67C67">
              <w:t>2029</w:t>
            </w:r>
            <w:r>
              <w:t>,</w:t>
            </w:r>
            <w:r w:rsidRPr="00E67C67">
              <w:t xml:space="preserve"> the expiration of provisions authorizing the PUC to hire outside assistance for</w:t>
            </w:r>
            <w:r w:rsidR="00E42C98">
              <w:t xml:space="preserve"> certain</w:t>
            </w:r>
            <w:r w:rsidRPr="00E67C67">
              <w:t xml:space="preserve"> matters involving the Federal Energy Regulatory Commission</w:t>
            </w:r>
            <w:r>
              <w:t>.</w:t>
            </w:r>
          </w:p>
          <w:p w14:paraId="7263D4A6" w14:textId="7AE1DD9C" w:rsidR="00A84524" w:rsidRDefault="00A84524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0F410F8" w14:textId="731FC633" w:rsidR="00F3063C" w:rsidRDefault="005040E6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1500 amends the Water Code to </w:t>
            </w:r>
            <w:r w:rsidR="000B4770">
              <w:t xml:space="preserve">set </w:t>
            </w:r>
            <w:r>
              <w:t>the maximum length of</w:t>
            </w:r>
            <w:r w:rsidR="004A4720">
              <w:t xml:space="preserve"> </w:t>
            </w:r>
            <w:r w:rsidR="000B4770">
              <w:t xml:space="preserve">the initial appointment of </w:t>
            </w:r>
            <w:r w:rsidR="001F08F0">
              <w:t xml:space="preserve">a </w:t>
            </w:r>
            <w:r>
              <w:t xml:space="preserve">temporary manager </w:t>
            </w:r>
            <w:r w:rsidR="000B4770">
              <w:t xml:space="preserve">for a water or sewer utility </w:t>
            </w:r>
            <w:r w:rsidR="00C05ED7">
              <w:t xml:space="preserve">through use of an emergency order </w:t>
            </w:r>
            <w:r w:rsidR="000B4770">
              <w:t>at</w:t>
            </w:r>
            <w:r>
              <w:t xml:space="preserve"> 360 days. The bill</w:t>
            </w:r>
            <w:r w:rsidRPr="003B0FED">
              <w:t xml:space="preserve"> </w:t>
            </w:r>
            <w:r>
              <w:t xml:space="preserve">authorizes the order to be renewed once for an additional period not to exceed 360 days or, if </w:t>
            </w:r>
            <w:r w:rsidRPr="00911D63">
              <w:t xml:space="preserve">the </w:t>
            </w:r>
            <w:r w:rsidRPr="00911D63">
              <w:t xml:space="preserve">utility is undergoing a sale, transfer, merger, consolidation, or acquisition, </w:t>
            </w:r>
            <w:r>
              <w:t xml:space="preserve">to be renewed </w:t>
            </w:r>
            <w:r w:rsidRPr="00911D63">
              <w:t>for a reasonable time until the sale, transfer, merger, consolidation, or acquisition is complete</w:t>
            </w:r>
            <w:r>
              <w:t>.</w:t>
            </w:r>
          </w:p>
          <w:p w14:paraId="69C3833D" w14:textId="77777777" w:rsidR="00F3063C" w:rsidRDefault="00F3063C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5FFACDF" w14:textId="7AAB8FB7" w:rsidR="00A84524" w:rsidRDefault="005040E6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1500 repeals the following provisions:</w:t>
            </w:r>
          </w:p>
          <w:p w14:paraId="6B3328A5" w14:textId="77777777" w:rsidR="00A84524" w:rsidRDefault="005040E6" w:rsidP="00374812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Section </w:t>
            </w:r>
            <w:r>
              <w:t>304.201, Business &amp; Commerce Code;</w:t>
            </w:r>
          </w:p>
          <w:p w14:paraId="55A5BEC3" w14:textId="5283B019" w:rsidR="00A84524" w:rsidRDefault="005040E6" w:rsidP="00374812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31.003, Utilities Code;</w:t>
            </w:r>
          </w:p>
          <w:p w14:paraId="16BFFA2B" w14:textId="6F34A16E" w:rsidR="00A84524" w:rsidRDefault="005040E6" w:rsidP="00374812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39.155(b), Utilities Code;</w:t>
            </w:r>
          </w:p>
          <w:p w14:paraId="6B063B41" w14:textId="02A31DE8" w:rsidR="00A84524" w:rsidRDefault="005040E6" w:rsidP="00374812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39.904(j), Utilities Code;</w:t>
            </w:r>
          </w:p>
          <w:p w14:paraId="773E131F" w14:textId="7D244510" w:rsidR="00A84524" w:rsidRDefault="005040E6" w:rsidP="00374812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Section 52.006, Utilities Code;</w:t>
            </w:r>
            <w:r w:rsidR="00845400">
              <w:t xml:space="preserve"> and</w:t>
            </w:r>
          </w:p>
          <w:p w14:paraId="1DC2B6C4" w14:textId="77777777" w:rsidR="008423E4" w:rsidRPr="00042266" w:rsidRDefault="005040E6" w:rsidP="003748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Section 34, Chapter 426 (S.B. 3), Acts of the 87th Legislature, Regular </w:t>
            </w:r>
            <w:r>
              <w:t>Session, 2021.</w:t>
            </w:r>
          </w:p>
          <w:p w14:paraId="15CBF8CC" w14:textId="592C90FA" w:rsidR="00042266" w:rsidRPr="00835628" w:rsidRDefault="00042266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74B4C" w14:paraId="5C579832" w14:textId="77777777" w:rsidTr="00374812">
        <w:tc>
          <w:tcPr>
            <w:tcW w:w="9360" w:type="dxa"/>
          </w:tcPr>
          <w:p w14:paraId="2090BE17" w14:textId="77777777" w:rsidR="008423E4" w:rsidRPr="00A8133F" w:rsidRDefault="005040E6" w:rsidP="003748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BD93B30" w14:textId="77777777" w:rsidR="008423E4" w:rsidRDefault="008423E4" w:rsidP="00374812"/>
          <w:p w14:paraId="07C0A18B" w14:textId="3D646011" w:rsidR="008423E4" w:rsidRPr="003624F2" w:rsidRDefault="005040E6" w:rsidP="003748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84524">
              <w:t>September 1, 2023</w:t>
            </w:r>
            <w:r>
              <w:t>.</w:t>
            </w:r>
          </w:p>
          <w:p w14:paraId="040203C7" w14:textId="77777777" w:rsidR="008423E4" w:rsidRPr="00233FDB" w:rsidRDefault="008423E4" w:rsidP="00374812">
            <w:pPr>
              <w:rPr>
                <w:b/>
              </w:rPr>
            </w:pPr>
          </w:p>
        </w:tc>
      </w:tr>
      <w:tr w:rsidR="00774B4C" w14:paraId="2D8F828A" w14:textId="77777777" w:rsidTr="00374812">
        <w:tc>
          <w:tcPr>
            <w:tcW w:w="9360" w:type="dxa"/>
          </w:tcPr>
          <w:p w14:paraId="0D2791EE" w14:textId="77777777" w:rsidR="00E9580E" w:rsidRDefault="005040E6" w:rsidP="0037481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INTRODUCED AND SUBSTITUTE</w:t>
            </w:r>
          </w:p>
          <w:p w14:paraId="0C0C78A5" w14:textId="77777777" w:rsidR="00F31C4A" w:rsidRDefault="00F31C4A" w:rsidP="00374812">
            <w:pPr>
              <w:jc w:val="both"/>
            </w:pPr>
          </w:p>
          <w:p w14:paraId="39931C8B" w14:textId="741C72D4" w:rsidR="00F31C4A" w:rsidRDefault="005040E6" w:rsidP="00374812">
            <w:pPr>
              <w:jc w:val="both"/>
            </w:pPr>
            <w:r>
              <w:t xml:space="preserve">While C.S.H.B. 1500 may differ from the introduced in minor or nonsubstantive ways, the following summarizes the substantial differences between the </w:t>
            </w:r>
            <w:r>
              <w:t>introduced and committee substitute versions of the bill.</w:t>
            </w:r>
          </w:p>
          <w:p w14:paraId="026E2389" w14:textId="5655DD44" w:rsidR="00F31C4A" w:rsidRDefault="00F31C4A" w:rsidP="00374812">
            <w:pPr>
              <w:jc w:val="both"/>
            </w:pPr>
          </w:p>
          <w:p w14:paraId="371650C6" w14:textId="12073F08" w:rsidR="00F31C4A" w:rsidRDefault="005040E6" w:rsidP="00374812">
            <w:pPr>
              <w:jc w:val="both"/>
            </w:pPr>
            <w:r>
              <w:t xml:space="preserve">The substitute replaces the </w:t>
            </w:r>
            <w:r w:rsidR="00E42C98">
              <w:t xml:space="preserve">requirement </w:t>
            </w:r>
            <w:r>
              <w:t xml:space="preserve">in the introduced </w:t>
            </w:r>
            <w:r w:rsidR="00E42C98">
              <w:t xml:space="preserve">for </w:t>
            </w:r>
            <w:r>
              <w:t>the PUC to provide written documentation of a verbal directive after ERCOT has been following the verbal directive for more than 72 hou</w:t>
            </w:r>
            <w:r>
              <w:t xml:space="preserve">rs with a </w:t>
            </w:r>
            <w:r w:rsidR="00E42C98">
              <w:t>requirement for</w:t>
            </w:r>
            <w:r>
              <w:t xml:space="preserve"> the PUC to provide written documentation of a verbal directive to ERCOT not later than 72 hours after the end of the urgent or emergency situation </w:t>
            </w:r>
            <w:r w:rsidR="00E42C98">
              <w:t>for</w:t>
            </w:r>
            <w:r>
              <w:t xml:space="preserve"> which the verbal directive was given.</w:t>
            </w:r>
          </w:p>
          <w:p w14:paraId="5443DEFA" w14:textId="4ACE0D96" w:rsidR="00F31C4A" w:rsidRDefault="00F31C4A" w:rsidP="00374812">
            <w:pPr>
              <w:jc w:val="both"/>
            </w:pPr>
          </w:p>
          <w:p w14:paraId="1FBCEAFC" w14:textId="2EE82821" w:rsidR="00F31C4A" w:rsidRPr="00F31C4A" w:rsidRDefault="005040E6" w:rsidP="00374812">
            <w:pPr>
              <w:jc w:val="both"/>
            </w:pPr>
            <w:r>
              <w:t>The substitute includes provisions not i</w:t>
            </w:r>
            <w:r>
              <w:t>n the introduced postponing</w:t>
            </w:r>
            <w:r w:rsidR="0077499F">
              <w:t xml:space="preserve"> from September 1, 2023,</w:t>
            </w:r>
            <w:r>
              <w:t xml:space="preserve"> </w:t>
            </w:r>
            <w:r w:rsidR="00866786">
              <w:t xml:space="preserve">until </w:t>
            </w:r>
            <w:r w:rsidR="00E42C98">
              <w:t xml:space="preserve">September 1, </w:t>
            </w:r>
            <w:r w:rsidR="00866786">
              <w:t>2029</w:t>
            </w:r>
            <w:r w:rsidR="00E42C98">
              <w:t>,</w:t>
            </w:r>
            <w:r w:rsidR="00866786">
              <w:t xml:space="preserve"> </w:t>
            </w:r>
            <w:r>
              <w:t xml:space="preserve">the expiration of </w:t>
            </w:r>
            <w:r w:rsidR="00866786">
              <w:t xml:space="preserve">provisions authorizing the PUC to hire outside assistance for </w:t>
            </w:r>
            <w:r w:rsidR="00E42C98">
              <w:t xml:space="preserve">certain </w:t>
            </w:r>
            <w:r w:rsidR="00866786">
              <w:t>matters involving the Federal Energy Regulatory Commission.</w:t>
            </w:r>
          </w:p>
        </w:tc>
      </w:tr>
    </w:tbl>
    <w:p w14:paraId="2776AB21" w14:textId="77777777" w:rsidR="008423E4" w:rsidRPr="00BE0E75" w:rsidRDefault="008423E4" w:rsidP="00374812">
      <w:pPr>
        <w:jc w:val="both"/>
        <w:rPr>
          <w:rFonts w:ascii="Arial" w:hAnsi="Arial"/>
          <w:sz w:val="16"/>
          <w:szCs w:val="16"/>
        </w:rPr>
      </w:pPr>
    </w:p>
    <w:sectPr w:rsidR="008423E4" w:rsidRPr="00BE0E7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BD39" w14:textId="77777777" w:rsidR="00000000" w:rsidRDefault="005040E6">
      <w:r>
        <w:separator/>
      </w:r>
    </w:p>
  </w:endnote>
  <w:endnote w:type="continuationSeparator" w:id="0">
    <w:p w14:paraId="190058D0" w14:textId="77777777" w:rsidR="00000000" w:rsidRDefault="0050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5999" w14:textId="77777777" w:rsidR="00256CA5" w:rsidRDefault="00256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4B4C" w14:paraId="160D744D" w14:textId="77777777" w:rsidTr="009C1E9A">
      <w:trPr>
        <w:cantSplit/>
      </w:trPr>
      <w:tc>
        <w:tcPr>
          <w:tcW w:w="0" w:type="pct"/>
        </w:tcPr>
        <w:p w14:paraId="28C4FA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7D5C97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F9D8E0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5F63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8801E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4B4C" w14:paraId="3A3FEAA0" w14:textId="77777777" w:rsidTr="009C1E9A">
      <w:trPr>
        <w:cantSplit/>
      </w:trPr>
      <w:tc>
        <w:tcPr>
          <w:tcW w:w="0" w:type="pct"/>
        </w:tcPr>
        <w:p w14:paraId="1D335B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64854CB" w14:textId="766DFC98" w:rsidR="00EC379B" w:rsidRPr="009C1E9A" w:rsidRDefault="005040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22111-D</w:t>
          </w:r>
        </w:p>
      </w:tc>
      <w:tc>
        <w:tcPr>
          <w:tcW w:w="2453" w:type="pct"/>
        </w:tcPr>
        <w:p w14:paraId="2FE9DFEA" w14:textId="129CFEA7" w:rsidR="00EC379B" w:rsidRDefault="005040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33720B">
            <w:t>23.96.722</w:t>
          </w:r>
          <w:r>
            <w:fldChar w:fldCharType="end"/>
          </w:r>
        </w:p>
      </w:tc>
    </w:tr>
    <w:tr w:rsidR="00774B4C" w14:paraId="568A25CB" w14:textId="77777777" w:rsidTr="009C1E9A">
      <w:trPr>
        <w:cantSplit/>
      </w:trPr>
      <w:tc>
        <w:tcPr>
          <w:tcW w:w="0" w:type="pct"/>
        </w:tcPr>
        <w:p w14:paraId="4118D51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0B2B7F4" w14:textId="20577D4E" w:rsidR="00EC379B" w:rsidRPr="009C1E9A" w:rsidRDefault="005040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88R 17930</w:t>
          </w:r>
        </w:p>
      </w:tc>
      <w:tc>
        <w:tcPr>
          <w:tcW w:w="2453" w:type="pct"/>
        </w:tcPr>
        <w:p w14:paraId="1347F01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9D39F1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4B4C" w14:paraId="6765AFF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CD8B5B0" w14:textId="77777777" w:rsidR="00EC379B" w:rsidRDefault="005040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0BEEB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31C3A2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9F93" w14:textId="77777777" w:rsidR="00256CA5" w:rsidRDefault="00256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4840" w14:textId="77777777" w:rsidR="00000000" w:rsidRDefault="005040E6">
      <w:r>
        <w:separator/>
      </w:r>
    </w:p>
  </w:footnote>
  <w:footnote w:type="continuationSeparator" w:id="0">
    <w:p w14:paraId="4F96EA6E" w14:textId="77777777" w:rsidR="00000000" w:rsidRDefault="0050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4504" w14:textId="77777777" w:rsidR="00256CA5" w:rsidRDefault="00256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4B66" w14:textId="77777777" w:rsidR="00256CA5" w:rsidRDefault="00256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B4B8" w14:textId="77777777" w:rsidR="00256CA5" w:rsidRDefault="00256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97870"/>
    <w:multiLevelType w:val="hybridMultilevel"/>
    <w:tmpl w:val="41BAF926"/>
    <w:lvl w:ilvl="0" w:tplc="99E45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EA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6AF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2D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25C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2E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4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26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69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5A2D"/>
    <w:multiLevelType w:val="hybridMultilevel"/>
    <w:tmpl w:val="6FBC0D68"/>
    <w:lvl w:ilvl="0" w:tplc="758E5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41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65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41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2B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E4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A0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60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E16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078EB"/>
    <w:multiLevelType w:val="hybridMultilevel"/>
    <w:tmpl w:val="3710D42C"/>
    <w:lvl w:ilvl="0" w:tplc="EF1A5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C4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0E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E8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EB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6B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8F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C5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E23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7F"/>
    <w:rsid w:val="00000A70"/>
    <w:rsid w:val="000032B8"/>
    <w:rsid w:val="00003985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A59"/>
    <w:rsid w:val="00031C95"/>
    <w:rsid w:val="000330D4"/>
    <w:rsid w:val="0003572D"/>
    <w:rsid w:val="00035DB0"/>
    <w:rsid w:val="00037088"/>
    <w:rsid w:val="000400D5"/>
    <w:rsid w:val="00042266"/>
    <w:rsid w:val="00043B84"/>
    <w:rsid w:val="0004512B"/>
    <w:rsid w:val="0004624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1D6"/>
    <w:rsid w:val="00074236"/>
    <w:rsid w:val="000746BD"/>
    <w:rsid w:val="00076200"/>
    <w:rsid w:val="00076D7D"/>
    <w:rsid w:val="00080D95"/>
    <w:rsid w:val="000907FA"/>
    <w:rsid w:val="00090E6B"/>
    <w:rsid w:val="00091B2C"/>
    <w:rsid w:val="00092ABC"/>
    <w:rsid w:val="00097AAF"/>
    <w:rsid w:val="00097D13"/>
    <w:rsid w:val="000A11AD"/>
    <w:rsid w:val="000A4893"/>
    <w:rsid w:val="000A54E0"/>
    <w:rsid w:val="000A72C4"/>
    <w:rsid w:val="000B0F30"/>
    <w:rsid w:val="000B1486"/>
    <w:rsid w:val="000B3E61"/>
    <w:rsid w:val="000B4770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69D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A70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C2B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168A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47F"/>
    <w:rsid w:val="001E2CAD"/>
    <w:rsid w:val="001E34DB"/>
    <w:rsid w:val="001E37CD"/>
    <w:rsid w:val="001E4070"/>
    <w:rsid w:val="001E655E"/>
    <w:rsid w:val="001F08F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6CA5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7C7"/>
    <w:rsid w:val="002D05CC"/>
    <w:rsid w:val="002D305A"/>
    <w:rsid w:val="002D4F94"/>
    <w:rsid w:val="002E00F0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21C1"/>
    <w:rsid w:val="003237F6"/>
    <w:rsid w:val="00324077"/>
    <w:rsid w:val="0032453B"/>
    <w:rsid w:val="00324868"/>
    <w:rsid w:val="00330311"/>
    <w:rsid w:val="003305F5"/>
    <w:rsid w:val="00333930"/>
    <w:rsid w:val="00334D53"/>
    <w:rsid w:val="00336BA4"/>
    <w:rsid w:val="00336C7A"/>
    <w:rsid w:val="0033720B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175B"/>
    <w:rsid w:val="003747DF"/>
    <w:rsid w:val="00374812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0FED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4933"/>
    <w:rsid w:val="003C4AD4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749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8D1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75B57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A4720"/>
    <w:rsid w:val="004B138F"/>
    <w:rsid w:val="004B412A"/>
    <w:rsid w:val="004B4368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0E6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2840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0AB3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B5F33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215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5FDD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7158"/>
    <w:rsid w:val="0068127E"/>
    <w:rsid w:val="00681790"/>
    <w:rsid w:val="00681A58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B7F9C"/>
    <w:rsid w:val="006C4709"/>
    <w:rsid w:val="006C4EA6"/>
    <w:rsid w:val="006C56FF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214B"/>
    <w:rsid w:val="006F267F"/>
    <w:rsid w:val="006F365D"/>
    <w:rsid w:val="006F4BB0"/>
    <w:rsid w:val="006F4E47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CDC"/>
    <w:rsid w:val="00731DE3"/>
    <w:rsid w:val="00735B9D"/>
    <w:rsid w:val="007365A5"/>
    <w:rsid w:val="00736FB0"/>
    <w:rsid w:val="00737AC6"/>
    <w:rsid w:val="007404BC"/>
    <w:rsid w:val="00740D13"/>
    <w:rsid w:val="00740F5F"/>
    <w:rsid w:val="007420F4"/>
    <w:rsid w:val="00742794"/>
    <w:rsid w:val="00743C4C"/>
    <w:rsid w:val="007445B7"/>
    <w:rsid w:val="00744920"/>
    <w:rsid w:val="007509BE"/>
    <w:rsid w:val="0075287B"/>
    <w:rsid w:val="0075369D"/>
    <w:rsid w:val="00755C7B"/>
    <w:rsid w:val="00764786"/>
    <w:rsid w:val="00766E12"/>
    <w:rsid w:val="0077098E"/>
    <w:rsid w:val="00771287"/>
    <w:rsid w:val="0077149E"/>
    <w:rsid w:val="0077499F"/>
    <w:rsid w:val="00774B4C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172D8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400"/>
    <w:rsid w:val="00850CF0"/>
    <w:rsid w:val="00851869"/>
    <w:rsid w:val="00851C04"/>
    <w:rsid w:val="008531A1"/>
    <w:rsid w:val="00853A94"/>
    <w:rsid w:val="008542F5"/>
    <w:rsid w:val="008547A3"/>
    <w:rsid w:val="0085797D"/>
    <w:rsid w:val="00860020"/>
    <w:rsid w:val="008618E7"/>
    <w:rsid w:val="00861995"/>
    <w:rsid w:val="008619A9"/>
    <w:rsid w:val="0086231A"/>
    <w:rsid w:val="0086477C"/>
    <w:rsid w:val="00864BAD"/>
    <w:rsid w:val="00866786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86C97"/>
    <w:rsid w:val="00890B59"/>
    <w:rsid w:val="0089260E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6DBF"/>
    <w:rsid w:val="008B7785"/>
    <w:rsid w:val="008B79F2"/>
    <w:rsid w:val="008C0809"/>
    <w:rsid w:val="008C1221"/>
    <w:rsid w:val="008C132C"/>
    <w:rsid w:val="008C3E88"/>
    <w:rsid w:val="008C3FD0"/>
    <w:rsid w:val="008D27A5"/>
    <w:rsid w:val="008D2AAB"/>
    <w:rsid w:val="008D309C"/>
    <w:rsid w:val="008D5685"/>
    <w:rsid w:val="008D58F9"/>
    <w:rsid w:val="008D5D67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4C45"/>
    <w:rsid w:val="00907780"/>
    <w:rsid w:val="00907EDD"/>
    <w:rsid w:val="009107AD"/>
    <w:rsid w:val="00911D63"/>
    <w:rsid w:val="00915568"/>
    <w:rsid w:val="00917E0C"/>
    <w:rsid w:val="00920711"/>
    <w:rsid w:val="00921A1E"/>
    <w:rsid w:val="00922957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1D3B"/>
    <w:rsid w:val="00946044"/>
    <w:rsid w:val="0094653B"/>
    <w:rsid w:val="009465AB"/>
    <w:rsid w:val="00946DEE"/>
    <w:rsid w:val="00953499"/>
    <w:rsid w:val="00954A16"/>
    <w:rsid w:val="00955900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708E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3090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F40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455"/>
    <w:rsid w:val="00A837A8"/>
    <w:rsid w:val="00A83C36"/>
    <w:rsid w:val="00A84524"/>
    <w:rsid w:val="00A932BB"/>
    <w:rsid w:val="00A93579"/>
    <w:rsid w:val="00A93934"/>
    <w:rsid w:val="00A955BB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6DE6"/>
    <w:rsid w:val="00AD304B"/>
    <w:rsid w:val="00AD4497"/>
    <w:rsid w:val="00AD5544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03B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0B24"/>
    <w:rsid w:val="00B311C3"/>
    <w:rsid w:val="00B31F0E"/>
    <w:rsid w:val="00B34F25"/>
    <w:rsid w:val="00B36488"/>
    <w:rsid w:val="00B43672"/>
    <w:rsid w:val="00B44461"/>
    <w:rsid w:val="00B45B31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0096"/>
    <w:rsid w:val="00BB5B36"/>
    <w:rsid w:val="00BB70B2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C74CE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82E"/>
    <w:rsid w:val="00BE71CD"/>
    <w:rsid w:val="00BE7748"/>
    <w:rsid w:val="00BE7BDA"/>
    <w:rsid w:val="00BF0548"/>
    <w:rsid w:val="00BF4949"/>
    <w:rsid w:val="00BF4D7C"/>
    <w:rsid w:val="00BF5085"/>
    <w:rsid w:val="00BF621B"/>
    <w:rsid w:val="00C013F4"/>
    <w:rsid w:val="00C040AB"/>
    <w:rsid w:val="00C0499B"/>
    <w:rsid w:val="00C05406"/>
    <w:rsid w:val="00C05CF0"/>
    <w:rsid w:val="00C05ED7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A93"/>
    <w:rsid w:val="00C37BDA"/>
    <w:rsid w:val="00C37C84"/>
    <w:rsid w:val="00C42B41"/>
    <w:rsid w:val="00C4604A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3A07"/>
    <w:rsid w:val="00C6492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494"/>
    <w:rsid w:val="00C95150"/>
    <w:rsid w:val="00C95A73"/>
    <w:rsid w:val="00CA02B0"/>
    <w:rsid w:val="00CA032E"/>
    <w:rsid w:val="00CA0DE4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DE8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2FF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3631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5E6A"/>
    <w:rsid w:val="00DB6CB6"/>
    <w:rsid w:val="00DB758F"/>
    <w:rsid w:val="00DC1F1B"/>
    <w:rsid w:val="00DC3D8F"/>
    <w:rsid w:val="00DC42E8"/>
    <w:rsid w:val="00DC6DBB"/>
    <w:rsid w:val="00DC7761"/>
    <w:rsid w:val="00DD0022"/>
    <w:rsid w:val="00DD05E1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6CFC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0147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69E"/>
    <w:rsid w:val="00E3795D"/>
    <w:rsid w:val="00E4098A"/>
    <w:rsid w:val="00E40BD3"/>
    <w:rsid w:val="00E41CAE"/>
    <w:rsid w:val="00E42014"/>
    <w:rsid w:val="00E42B85"/>
    <w:rsid w:val="00E42BB2"/>
    <w:rsid w:val="00E42C98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C67"/>
    <w:rsid w:val="00E70CC6"/>
    <w:rsid w:val="00E71254"/>
    <w:rsid w:val="00E71A88"/>
    <w:rsid w:val="00E73CCD"/>
    <w:rsid w:val="00E76453"/>
    <w:rsid w:val="00E77353"/>
    <w:rsid w:val="00E775AE"/>
    <w:rsid w:val="00E7798F"/>
    <w:rsid w:val="00E8272C"/>
    <w:rsid w:val="00E827C7"/>
    <w:rsid w:val="00E829C3"/>
    <w:rsid w:val="00E85DBD"/>
    <w:rsid w:val="00E87A99"/>
    <w:rsid w:val="00E90702"/>
    <w:rsid w:val="00E9241E"/>
    <w:rsid w:val="00E93DEF"/>
    <w:rsid w:val="00E947B1"/>
    <w:rsid w:val="00E9580E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B5734"/>
    <w:rsid w:val="00EB5FDD"/>
    <w:rsid w:val="00EC02A2"/>
    <w:rsid w:val="00EC379B"/>
    <w:rsid w:val="00EC37DF"/>
    <w:rsid w:val="00EC3A99"/>
    <w:rsid w:val="00EC41B1"/>
    <w:rsid w:val="00EC5B8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09D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EDA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63C"/>
    <w:rsid w:val="00F307B6"/>
    <w:rsid w:val="00F30EB8"/>
    <w:rsid w:val="00F31876"/>
    <w:rsid w:val="00F31C4A"/>
    <w:rsid w:val="00F31C67"/>
    <w:rsid w:val="00F34694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33EE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33C8"/>
    <w:rsid w:val="00F96602"/>
    <w:rsid w:val="00F9735A"/>
    <w:rsid w:val="00FA32FC"/>
    <w:rsid w:val="00FA59FD"/>
    <w:rsid w:val="00FA5D8C"/>
    <w:rsid w:val="00FA6403"/>
    <w:rsid w:val="00FB16CD"/>
    <w:rsid w:val="00FB73AE"/>
    <w:rsid w:val="00FC39C9"/>
    <w:rsid w:val="00FC5388"/>
    <w:rsid w:val="00FC726C"/>
    <w:rsid w:val="00FD1B4B"/>
    <w:rsid w:val="00FD1B94"/>
    <w:rsid w:val="00FD7B82"/>
    <w:rsid w:val="00FE0EB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8324FC-567F-49B8-9523-C73891F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D4F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4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F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4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4F94"/>
    <w:rPr>
      <w:b/>
      <w:bCs/>
    </w:rPr>
  </w:style>
  <w:style w:type="paragraph" w:styleId="Revision">
    <w:name w:val="Revision"/>
    <w:hidden/>
    <w:uiPriority w:val="99"/>
    <w:semiHidden/>
    <w:rsid w:val="007420F4"/>
    <w:rPr>
      <w:sz w:val="24"/>
      <w:szCs w:val="24"/>
    </w:rPr>
  </w:style>
  <w:style w:type="character" w:styleId="Hyperlink">
    <w:name w:val="Hyperlink"/>
    <w:basedOn w:val="DefaultParagraphFont"/>
    <w:unhideWhenUsed/>
    <w:rsid w:val="008172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1490</Words>
  <Characters>8195</Characters>
  <Application>Microsoft Office Word</Application>
  <DocSecurity>4</DocSecurity>
  <Lines>165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HB01500 (Committee Report (Substituted))</vt:lpstr>
    </vt:vector>
  </TitlesOfParts>
  <Company>State of Texas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22111</dc:subject>
  <dc:creator>State of Texas</dc:creator>
  <dc:description>HB 1500 by Holland-(H)State Affairs (Substitute Document Number: 88R 17930)</dc:description>
  <cp:lastModifiedBy>Thomas Weis</cp:lastModifiedBy>
  <cp:revision>2</cp:revision>
  <cp:lastPrinted>2003-11-26T17:21:00Z</cp:lastPrinted>
  <dcterms:created xsi:type="dcterms:W3CDTF">2023-04-10T23:41:00Z</dcterms:created>
  <dcterms:modified xsi:type="dcterms:W3CDTF">2023-04-10T23:41:00Z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23.96.722</vt:lpwstr>
  </property>
</Properties>
</file>