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F0ACF" w14:paraId="6F141A95" w14:textId="77777777" w:rsidTr="00345119">
        <w:tc>
          <w:tcPr>
            <w:tcW w:w="9576" w:type="dxa"/>
            <w:noWrap/>
          </w:tcPr>
          <w:p w14:paraId="683908D1" w14:textId="77777777" w:rsidR="008423E4" w:rsidRPr="0022177D" w:rsidRDefault="007C117B" w:rsidP="00907F28">
            <w:pPr>
              <w:pStyle w:val="Heading1"/>
            </w:pPr>
            <w:r w:rsidRPr="00631897">
              <w:t>BILL ANALYSIS</w:t>
            </w:r>
          </w:p>
        </w:tc>
      </w:tr>
    </w:tbl>
    <w:p w14:paraId="714CAC1B" w14:textId="77777777" w:rsidR="008423E4" w:rsidRPr="0022177D" w:rsidRDefault="008423E4" w:rsidP="00907F28">
      <w:pPr>
        <w:jc w:val="center"/>
      </w:pPr>
    </w:p>
    <w:p w14:paraId="257369E4" w14:textId="77777777" w:rsidR="008423E4" w:rsidRPr="00B31F0E" w:rsidRDefault="008423E4" w:rsidP="00907F28"/>
    <w:p w14:paraId="57B220D3" w14:textId="77777777" w:rsidR="008423E4" w:rsidRPr="00742794" w:rsidRDefault="008423E4" w:rsidP="00907F2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F0ACF" w14:paraId="529AB409" w14:textId="77777777" w:rsidTr="00345119">
        <w:tc>
          <w:tcPr>
            <w:tcW w:w="9576" w:type="dxa"/>
          </w:tcPr>
          <w:p w14:paraId="67A2260D" w14:textId="6380AEF4" w:rsidR="008423E4" w:rsidRPr="00861995" w:rsidRDefault="007C117B" w:rsidP="00907F28">
            <w:pPr>
              <w:jc w:val="right"/>
            </w:pPr>
            <w:r>
              <w:t>C.S.H.B. 1535</w:t>
            </w:r>
          </w:p>
        </w:tc>
      </w:tr>
      <w:tr w:rsidR="003F0ACF" w14:paraId="6C48DAC2" w14:textId="77777777" w:rsidTr="00345119">
        <w:tc>
          <w:tcPr>
            <w:tcW w:w="9576" w:type="dxa"/>
          </w:tcPr>
          <w:p w14:paraId="13F9AC04" w14:textId="14A34802" w:rsidR="008423E4" w:rsidRPr="00861995" w:rsidRDefault="007C117B" w:rsidP="00907F28">
            <w:pPr>
              <w:jc w:val="right"/>
            </w:pPr>
            <w:r>
              <w:t xml:space="preserve">By: </w:t>
            </w:r>
            <w:r w:rsidR="0046587C">
              <w:t>Clardy</w:t>
            </w:r>
          </w:p>
        </w:tc>
      </w:tr>
      <w:tr w:rsidR="003F0ACF" w14:paraId="2C5A77B8" w14:textId="77777777" w:rsidTr="00345119">
        <w:tc>
          <w:tcPr>
            <w:tcW w:w="9576" w:type="dxa"/>
          </w:tcPr>
          <w:p w14:paraId="41FD455A" w14:textId="38AB7648" w:rsidR="008423E4" w:rsidRPr="00861995" w:rsidRDefault="007C117B" w:rsidP="00907F28">
            <w:pPr>
              <w:jc w:val="right"/>
            </w:pPr>
            <w:r>
              <w:t>Natural Resources</w:t>
            </w:r>
          </w:p>
        </w:tc>
      </w:tr>
      <w:tr w:rsidR="003F0ACF" w14:paraId="5EE054D2" w14:textId="77777777" w:rsidTr="00345119">
        <w:tc>
          <w:tcPr>
            <w:tcW w:w="9576" w:type="dxa"/>
          </w:tcPr>
          <w:p w14:paraId="25AFA882" w14:textId="32D24EC3" w:rsidR="008423E4" w:rsidRDefault="007C117B" w:rsidP="00907F28">
            <w:pPr>
              <w:jc w:val="right"/>
            </w:pPr>
            <w:r>
              <w:t>Committee Report (Substituted)</w:t>
            </w:r>
          </w:p>
        </w:tc>
      </w:tr>
    </w:tbl>
    <w:p w14:paraId="5F22F512" w14:textId="77777777" w:rsidR="008423E4" w:rsidRDefault="008423E4" w:rsidP="00907F28">
      <w:pPr>
        <w:tabs>
          <w:tab w:val="right" w:pos="9360"/>
        </w:tabs>
      </w:pPr>
    </w:p>
    <w:p w14:paraId="5B20AC3F" w14:textId="77777777" w:rsidR="008423E4" w:rsidRDefault="008423E4" w:rsidP="00907F28"/>
    <w:p w14:paraId="0F7CDEA2" w14:textId="77777777" w:rsidR="008423E4" w:rsidRDefault="008423E4" w:rsidP="00907F2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F0ACF" w14:paraId="59ACC639" w14:textId="77777777" w:rsidTr="00345119">
        <w:tc>
          <w:tcPr>
            <w:tcW w:w="9576" w:type="dxa"/>
          </w:tcPr>
          <w:p w14:paraId="447595FD" w14:textId="77777777" w:rsidR="008423E4" w:rsidRPr="004C0EB2" w:rsidRDefault="007C117B" w:rsidP="00907F28">
            <w:pPr>
              <w:rPr>
                <w:b/>
              </w:rPr>
            </w:pPr>
            <w:r w:rsidRPr="004C0EB2">
              <w:rPr>
                <w:b/>
                <w:u w:val="single"/>
              </w:rPr>
              <w:t>BACKGROUND AND PURPOSE</w:t>
            </w:r>
            <w:r w:rsidRPr="004C0EB2">
              <w:rPr>
                <w:b/>
              </w:rPr>
              <w:t xml:space="preserve"> </w:t>
            </w:r>
          </w:p>
          <w:p w14:paraId="6E07DA08" w14:textId="77777777" w:rsidR="008423E4" w:rsidRDefault="008423E4" w:rsidP="00907F28"/>
          <w:p w14:paraId="6E13984B" w14:textId="77777777" w:rsidR="007B38D9" w:rsidRDefault="007C117B" w:rsidP="00907F28">
            <w:pPr>
              <w:pStyle w:val="Header"/>
              <w:jc w:val="both"/>
            </w:pPr>
            <w:r w:rsidRPr="003D3B7C">
              <w:t xml:space="preserve">Since its creation in 1937, </w:t>
            </w:r>
            <w:r>
              <w:t>the San Antonio River Authority (</w:t>
            </w:r>
            <w:r w:rsidRPr="003D3B7C">
              <w:t>SARA</w:t>
            </w:r>
            <w:r>
              <w:t>)</w:t>
            </w:r>
            <w:r w:rsidRPr="003D3B7C">
              <w:t xml:space="preserve"> has managed the creeks and rivers in the San Antonio River basin, encompassing Bexar, </w:t>
            </w:r>
            <w:r>
              <w:t>Goliad</w:t>
            </w:r>
            <w:r w:rsidRPr="003D3B7C">
              <w:t xml:space="preserve">, Karnes, and </w:t>
            </w:r>
            <w:r>
              <w:t>Wilson</w:t>
            </w:r>
            <w:r w:rsidRPr="003D3B7C">
              <w:t xml:space="preserve"> </w:t>
            </w:r>
            <w:r>
              <w:t>C</w:t>
            </w:r>
            <w:r w:rsidRPr="003D3B7C">
              <w:t>ounties. Through its extensive work with stakeholders and partners in the basin, SARA is regarded as generally well</w:t>
            </w:r>
            <w:r w:rsidR="00F31C30">
              <w:t xml:space="preserve"> </w:t>
            </w:r>
            <w:r w:rsidRPr="003D3B7C">
              <w:t>run, with a reputation fo</w:t>
            </w:r>
            <w:r w:rsidRPr="003D3B7C">
              <w:t>r strong leadership and highly</w:t>
            </w:r>
            <w:r w:rsidR="00F31C30">
              <w:t xml:space="preserve"> </w:t>
            </w:r>
            <w:r w:rsidRPr="003D3B7C">
              <w:t>respected expertise across the various areas in which it works. However, the basin</w:t>
            </w:r>
            <w:r w:rsidR="00F31C30">
              <w:t>'</w:t>
            </w:r>
            <w:r w:rsidRPr="003D3B7C">
              <w:t>s rapid population growth has resulted in increasing demand for SARA</w:t>
            </w:r>
            <w:r w:rsidR="00F31C30">
              <w:t>'</w:t>
            </w:r>
            <w:r w:rsidRPr="003D3B7C">
              <w:t xml:space="preserve">s services, and </w:t>
            </w:r>
            <w:r>
              <w:t>SARA</w:t>
            </w:r>
            <w:r w:rsidRPr="003D3B7C">
              <w:t xml:space="preserve"> needs to evolve quickly to meet these new demands. </w:t>
            </w:r>
            <w:r>
              <w:t>F</w:t>
            </w:r>
            <w:r>
              <w:t>ollowing its review of SARA, t</w:t>
            </w:r>
            <w:r w:rsidRPr="003D3B7C">
              <w:t>he Sunset</w:t>
            </w:r>
            <w:r>
              <w:t xml:space="preserve"> Advisory</w:t>
            </w:r>
            <w:r w:rsidRPr="003D3B7C">
              <w:t xml:space="preserve"> Commission recommend</w:t>
            </w:r>
            <w:r>
              <w:t>ed</w:t>
            </w:r>
            <w:r w:rsidRPr="003D3B7C">
              <w:t xml:space="preserve"> SARA develop processes to be more transparent and accountable in its strategic planning and project selection processes, as well as in managing its various reserve funds. The </w:t>
            </w:r>
            <w:r>
              <w:t xml:space="preserve">sunset </w:t>
            </w:r>
            <w:r w:rsidRPr="003D3B7C">
              <w:t>co</w:t>
            </w:r>
            <w:r w:rsidRPr="003D3B7C">
              <w:t>mmission also recommend</w:t>
            </w:r>
            <w:r>
              <w:t>ed</w:t>
            </w:r>
            <w:r w:rsidRPr="003D3B7C">
              <w:t xml:space="preserve"> SARA better align its nonprofit partnerships with best practices and a number of standard contracting practices to ensure consistency and transparency in the way SARA awards and manages its contracts. </w:t>
            </w:r>
          </w:p>
          <w:p w14:paraId="51515822" w14:textId="77777777" w:rsidR="007B38D9" w:rsidRDefault="007B38D9" w:rsidP="00907F28">
            <w:pPr>
              <w:pStyle w:val="Header"/>
              <w:jc w:val="both"/>
            </w:pPr>
          </w:p>
          <w:p w14:paraId="3E445DEA" w14:textId="4236F492" w:rsidR="008423E4" w:rsidRDefault="007C117B" w:rsidP="00907F28">
            <w:pPr>
              <w:pStyle w:val="Header"/>
              <w:jc w:val="both"/>
            </w:pPr>
            <w:r>
              <w:t>C.S.</w:t>
            </w:r>
            <w:r w:rsidR="009D719A">
              <w:t>H.B. 1535 seeks to provide for the next sunset review of SARA during the 2034-2035 review cycle and implement</w:t>
            </w:r>
            <w:r w:rsidR="003D3B7C" w:rsidRPr="003D3B7C">
              <w:t xml:space="preserve"> these </w:t>
            </w:r>
            <w:r w:rsidR="009D719A">
              <w:t xml:space="preserve">sunset commission </w:t>
            </w:r>
            <w:r w:rsidR="003D3B7C" w:rsidRPr="003D3B7C">
              <w:t xml:space="preserve">recommendations </w:t>
            </w:r>
            <w:r w:rsidR="009D719A">
              <w:t>to</w:t>
            </w:r>
            <w:r w:rsidR="009D719A" w:rsidRPr="003D3B7C">
              <w:t xml:space="preserve"> </w:t>
            </w:r>
            <w:r w:rsidR="003D3B7C" w:rsidRPr="003D3B7C">
              <w:t>help ensure SARA is best equipped to continue to be effective in the face of population growth and evolving demands on its services in the basin.</w:t>
            </w:r>
          </w:p>
          <w:p w14:paraId="5FD3C155" w14:textId="77777777" w:rsidR="008423E4" w:rsidRPr="00E26B13" w:rsidRDefault="008423E4" w:rsidP="00907F28">
            <w:pPr>
              <w:rPr>
                <w:b/>
              </w:rPr>
            </w:pPr>
          </w:p>
        </w:tc>
      </w:tr>
      <w:tr w:rsidR="003F0ACF" w14:paraId="6FF40463" w14:textId="77777777" w:rsidTr="00345119">
        <w:tc>
          <w:tcPr>
            <w:tcW w:w="9576" w:type="dxa"/>
          </w:tcPr>
          <w:p w14:paraId="543D6B92" w14:textId="77777777" w:rsidR="0017725B" w:rsidRDefault="007C117B" w:rsidP="00907F2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354AB56" w14:textId="77777777" w:rsidR="0017725B" w:rsidRDefault="0017725B" w:rsidP="00907F28">
            <w:pPr>
              <w:rPr>
                <w:b/>
                <w:u w:val="single"/>
              </w:rPr>
            </w:pPr>
          </w:p>
          <w:p w14:paraId="20736969" w14:textId="069FB30C" w:rsidR="006A45E2" w:rsidRPr="006A45E2" w:rsidRDefault="007C117B" w:rsidP="00907F2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</w:t>
            </w:r>
            <w:r>
              <w:t>rson for community supervision, parole, or mandatory supervision.</w:t>
            </w:r>
          </w:p>
          <w:p w14:paraId="4AD1DC0F" w14:textId="77777777" w:rsidR="0017725B" w:rsidRPr="0017725B" w:rsidRDefault="0017725B" w:rsidP="00907F28">
            <w:pPr>
              <w:rPr>
                <w:b/>
                <w:u w:val="single"/>
              </w:rPr>
            </w:pPr>
          </w:p>
        </w:tc>
      </w:tr>
      <w:tr w:rsidR="003F0ACF" w14:paraId="288719EF" w14:textId="77777777" w:rsidTr="00345119">
        <w:tc>
          <w:tcPr>
            <w:tcW w:w="9576" w:type="dxa"/>
          </w:tcPr>
          <w:p w14:paraId="7F593B1A" w14:textId="77777777" w:rsidR="008423E4" w:rsidRPr="00A8133F" w:rsidRDefault="007C117B" w:rsidP="00907F2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D3D5F71" w14:textId="77777777" w:rsidR="008423E4" w:rsidRDefault="008423E4" w:rsidP="00907F28"/>
          <w:p w14:paraId="20A3CBCD" w14:textId="46CE2867" w:rsidR="006A45E2" w:rsidRDefault="007C117B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FF30155" w14:textId="77777777" w:rsidR="008423E4" w:rsidRPr="00E21FDC" w:rsidRDefault="008423E4" w:rsidP="00907F28">
            <w:pPr>
              <w:rPr>
                <w:b/>
              </w:rPr>
            </w:pPr>
          </w:p>
        </w:tc>
      </w:tr>
      <w:tr w:rsidR="003F0ACF" w14:paraId="1EB0D801" w14:textId="77777777" w:rsidTr="00345119">
        <w:tc>
          <w:tcPr>
            <w:tcW w:w="9576" w:type="dxa"/>
          </w:tcPr>
          <w:p w14:paraId="61FAA9A2" w14:textId="77777777" w:rsidR="008423E4" w:rsidRPr="00A8133F" w:rsidRDefault="007C117B" w:rsidP="00907F2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84A9473" w14:textId="77777777" w:rsidR="008423E4" w:rsidRDefault="008423E4" w:rsidP="00907F28"/>
          <w:p w14:paraId="102DEF80" w14:textId="5D268D37" w:rsidR="009C36CD" w:rsidRDefault="007C117B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3F0F43">
              <w:t xml:space="preserve">H.B. 1535 amends </w:t>
            </w:r>
            <w:r w:rsidR="003F0F43" w:rsidRPr="003F0F43">
              <w:t>Chapter 276, Acts of the 45th Legislature, Regular Session, 1937,</w:t>
            </w:r>
            <w:r w:rsidR="003F0F43">
              <w:t xml:space="preserve"> </w:t>
            </w:r>
            <w:r w:rsidR="003F0F43" w:rsidRPr="003F0F43">
              <w:t>to set the next review of the San Antonio River Authority</w:t>
            </w:r>
            <w:r w:rsidR="003F0F43">
              <w:t xml:space="preserve"> </w:t>
            </w:r>
            <w:r w:rsidR="00D63961">
              <w:t xml:space="preserve">(SARA) under the Texas Sunset Act </w:t>
            </w:r>
            <w:r w:rsidR="003F0F43" w:rsidRPr="003F0F43">
              <w:t xml:space="preserve">to be conducted </w:t>
            </w:r>
            <w:r w:rsidR="00E648D8">
              <w:t xml:space="preserve">during the </w:t>
            </w:r>
            <w:r w:rsidR="00D63961">
              <w:t>2034-</w:t>
            </w:r>
            <w:r w:rsidR="003F0F43" w:rsidRPr="003F0F43">
              <w:t>2035</w:t>
            </w:r>
            <w:r w:rsidR="00D63961">
              <w:t xml:space="preserve"> review cycle</w:t>
            </w:r>
            <w:r w:rsidR="003F0F43" w:rsidRPr="003F0F43">
              <w:t>.</w:t>
            </w:r>
          </w:p>
          <w:p w14:paraId="5F646E39" w14:textId="3DAE4661" w:rsidR="003F0F43" w:rsidRDefault="003F0F43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AC8CF6B" w14:textId="2AF98AB6" w:rsidR="00CC3803" w:rsidRDefault="007C117B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1535 </w:t>
            </w:r>
            <w:r w:rsidR="00D63961">
              <w:t xml:space="preserve">revises provisions governing SARA to </w:t>
            </w:r>
            <w:r>
              <w:t xml:space="preserve">implement across-the-board </w:t>
            </w:r>
            <w:r w:rsidR="00D63961">
              <w:t>S</w:t>
            </w:r>
            <w:r>
              <w:t xml:space="preserve">unset </w:t>
            </w:r>
            <w:r w:rsidR="00D63961">
              <w:t xml:space="preserve">Advisory Commission policy </w:t>
            </w:r>
            <w:r>
              <w:t xml:space="preserve">recommendations </w:t>
            </w:r>
            <w:r w:rsidR="00D63961">
              <w:t>relating to</w:t>
            </w:r>
            <w:r>
              <w:t xml:space="preserve"> the </w:t>
            </w:r>
            <w:r w:rsidR="00D63961">
              <w:t>following</w:t>
            </w:r>
            <w:r>
              <w:t>:</w:t>
            </w:r>
          </w:p>
          <w:p w14:paraId="66771E09" w14:textId="0724B8AF" w:rsidR="00BB0965" w:rsidRDefault="007C117B" w:rsidP="00907F28">
            <w:pPr>
              <w:pStyle w:val="Header"/>
              <w:numPr>
                <w:ilvl w:val="0"/>
                <w:numId w:val="3"/>
              </w:numPr>
              <w:jc w:val="both"/>
            </w:pPr>
            <w:r w:rsidRPr="007875E6">
              <w:t>board member training program;</w:t>
            </w:r>
          </w:p>
          <w:p w14:paraId="02A7F2BB" w14:textId="4024FFD3" w:rsidR="00CC3803" w:rsidRPr="007875E6" w:rsidRDefault="007C117B" w:rsidP="00907F28">
            <w:pPr>
              <w:pStyle w:val="Header"/>
              <w:numPr>
                <w:ilvl w:val="0"/>
                <w:numId w:val="3"/>
              </w:numPr>
              <w:jc w:val="both"/>
            </w:pPr>
            <w:r w:rsidRPr="007875E6">
              <w:t>separation</w:t>
            </w:r>
            <w:r w:rsidRPr="007875E6">
              <w:t xml:space="preserve"> of the board's policy-making responsibilities and the staff's management responsibilities;</w:t>
            </w:r>
          </w:p>
          <w:p w14:paraId="26913D10" w14:textId="26CDD875" w:rsidR="00CC3803" w:rsidRPr="007875E6" w:rsidRDefault="007C117B" w:rsidP="00907F28">
            <w:pPr>
              <w:pStyle w:val="Header"/>
              <w:numPr>
                <w:ilvl w:val="0"/>
                <w:numId w:val="3"/>
              </w:numPr>
              <w:jc w:val="both"/>
            </w:pPr>
            <w:r w:rsidRPr="007875E6">
              <w:t>public testimony</w:t>
            </w:r>
            <w:r w:rsidR="00D63961">
              <w:t xml:space="preserve"> at board meetings</w:t>
            </w:r>
            <w:r>
              <w:t>; and</w:t>
            </w:r>
          </w:p>
          <w:p w14:paraId="332D81C8" w14:textId="2D744DE2" w:rsidR="00CC3803" w:rsidRPr="007875E6" w:rsidRDefault="007C117B" w:rsidP="00907F28">
            <w:pPr>
              <w:pStyle w:val="Header"/>
              <w:numPr>
                <w:ilvl w:val="0"/>
                <w:numId w:val="3"/>
              </w:numPr>
              <w:jc w:val="both"/>
            </w:pPr>
            <w:r w:rsidRPr="004146C3">
              <w:t xml:space="preserve">maintenance of </w:t>
            </w:r>
            <w:r w:rsidR="004146C3" w:rsidRPr="004146C3">
              <w:t>complaint</w:t>
            </w:r>
            <w:r w:rsidR="00D63961">
              <w:t xml:space="preserve"> information</w:t>
            </w:r>
            <w:r w:rsidR="00BB0965">
              <w:t>.</w:t>
            </w:r>
          </w:p>
          <w:p w14:paraId="31E737A9" w14:textId="14FC4D8F" w:rsidR="00CC3803" w:rsidRPr="00E41499" w:rsidRDefault="007C117B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41499">
              <w:t xml:space="preserve">The bill provides for the transition to the </w:t>
            </w:r>
            <w:r w:rsidR="00D63961">
              <w:t xml:space="preserve">new training </w:t>
            </w:r>
            <w:r w:rsidRPr="00E41499">
              <w:t xml:space="preserve">requirements </w:t>
            </w:r>
            <w:r w:rsidR="00D63961">
              <w:t>for current</w:t>
            </w:r>
            <w:r w:rsidRPr="00E41499">
              <w:t xml:space="preserve"> boar</w:t>
            </w:r>
            <w:r w:rsidRPr="00E41499">
              <w:t>d member</w:t>
            </w:r>
            <w:r w:rsidR="00D63961">
              <w:t>s</w:t>
            </w:r>
            <w:r w:rsidRPr="00E41499">
              <w:t>.</w:t>
            </w:r>
          </w:p>
          <w:p w14:paraId="08ADF752" w14:textId="0B9CE392" w:rsidR="00CC3803" w:rsidRDefault="00CC3803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EF7014D" w14:textId="4459502A" w:rsidR="00590A9E" w:rsidRDefault="007C117B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1535 changes the date of the</w:t>
            </w:r>
            <w:r w:rsidR="00EF1607">
              <w:t xml:space="preserve"> </w:t>
            </w:r>
            <w:r w:rsidR="00EF1607" w:rsidRPr="00EF1607">
              <w:t>biennial</w:t>
            </w:r>
            <w:r>
              <w:t xml:space="preserve"> board member election from the </w:t>
            </w:r>
            <w:r w:rsidR="00EF1607" w:rsidRPr="00EF1607">
              <w:t>third Saturday in January</w:t>
            </w:r>
            <w:r>
              <w:t xml:space="preserve"> </w:t>
            </w:r>
            <w:r w:rsidR="00EF1607">
              <w:t xml:space="preserve">to the </w:t>
            </w:r>
            <w:r w:rsidR="00EF1607" w:rsidRPr="00EF1607">
              <w:t>uniform election date in November</w:t>
            </w:r>
            <w:r w:rsidR="00DA6CE5">
              <w:t>.</w:t>
            </w:r>
            <w:r w:rsidR="00EF1607">
              <w:t xml:space="preserve"> </w:t>
            </w:r>
            <w:r w:rsidR="00DA6CE5">
              <w:t xml:space="preserve">Accordingly, the bill </w:t>
            </w:r>
            <w:r w:rsidR="00EF1607">
              <w:t xml:space="preserve">changes the </w:t>
            </w:r>
            <w:r w:rsidR="00EF1607" w:rsidRPr="00EF1607">
              <w:t>da</w:t>
            </w:r>
            <w:r w:rsidR="00DA6CE5">
              <w:t>te</w:t>
            </w:r>
            <w:r w:rsidR="00EF1607" w:rsidRPr="00EF1607">
              <w:t xml:space="preserve"> </w:t>
            </w:r>
            <w:r w:rsidR="00DA6CE5">
              <w:t xml:space="preserve">on </w:t>
            </w:r>
            <w:r w:rsidR="00EF1607">
              <w:t xml:space="preserve">which </w:t>
            </w:r>
            <w:r w:rsidR="001E3405">
              <w:t xml:space="preserve">a </w:t>
            </w:r>
            <w:r w:rsidR="00EF1607">
              <w:t>member</w:t>
            </w:r>
            <w:r w:rsidR="001E3405">
              <w:t>'</w:t>
            </w:r>
            <w:r w:rsidR="00EF1607">
              <w:t>s term commence</w:t>
            </w:r>
            <w:r w:rsidR="001E3405">
              <w:t>s</w:t>
            </w:r>
            <w:r w:rsidR="00DA6CE5">
              <w:t xml:space="preserve"> </w:t>
            </w:r>
            <w:r w:rsidR="00F87C0C">
              <w:t xml:space="preserve">following the election </w:t>
            </w:r>
            <w:r w:rsidR="00DA6CE5">
              <w:t>from the first day of February to the first day of January</w:t>
            </w:r>
            <w:r w:rsidR="00EF1607">
              <w:t>.</w:t>
            </w:r>
            <w:r w:rsidR="00486AAA">
              <w:t xml:space="preserve"> The bill</w:t>
            </w:r>
            <w:r w:rsidR="00CC3803">
              <w:t xml:space="preserve"> </w:t>
            </w:r>
            <w:r w:rsidR="00CC3803" w:rsidRPr="00CC3803">
              <w:t xml:space="preserve">decreases the length of a </w:t>
            </w:r>
            <w:r w:rsidR="00D63961">
              <w:t>member's</w:t>
            </w:r>
            <w:r w:rsidR="00D63961" w:rsidRPr="00CC3803">
              <w:t xml:space="preserve"> </w:t>
            </w:r>
            <w:r w:rsidR="00CC3803" w:rsidRPr="00CC3803">
              <w:t>term</w:t>
            </w:r>
            <w:r w:rsidR="00DA6CE5">
              <w:t xml:space="preserve"> of office</w:t>
            </w:r>
            <w:r w:rsidR="00CC3803" w:rsidRPr="00E41499">
              <w:t xml:space="preserve"> from six years to four years</w:t>
            </w:r>
            <w:r w:rsidR="00486AAA">
              <w:t>.</w:t>
            </w:r>
            <w:r w:rsidR="0033692F">
              <w:t xml:space="preserve"> </w:t>
            </w:r>
            <w:r w:rsidR="00486AAA" w:rsidRPr="00E41499">
              <w:t>Th</w:t>
            </w:r>
            <w:r w:rsidR="00486AAA">
              <w:t>ese provisions of the bill</w:t>
            </w:r>
            <w:r w:rsidR="00486AAA" w:rsidRPr="00E41499">
              <w:t xml:space="preserve"> </w:t>
            </w:r>
            <w:r w:rsidR="00486AAA" w:rsidRPr="00590A9E">
              <w:t>appl</w:t>
            </w:r>
            <w:r w:rsidR="00486AAA">
              <w:t>y</w:t>
            </w:r>
            <w:r w:rsidR="00486AAA" w:rsidRPr="00590A9E">
              <w:t xml:space="preserve"> only to the term of a </w:t>
            </w:r>
            <w:r w:rsidR="00486AAA">
              <w:t>member</w:t>
            </w:r>
            <w:r w:rsidR="00486AAA" w:rsidRPr="00590A9E">
              <w:t xml:space="preserve"> appointed or elected on or after the</w:t>
            </w:r>
            <w:r w:rsidR="00486AAA">
              <w:t xml:space="preserve"> bill's</w:t>
            </w:r>
            <w:r w:rsidR="00486AAA" w:rsidRPr="00590A9E">
              <w:t xml:space="preserve"> effective date.</w:t>
            </w:r>
            <w:r w:rsidR="00F534F0">
              <w:t xml:space="preserve"> The bill </w:t>
            </w:r>
            <w:r w:rsidR="00CC3803" w:rsidRPr="00E41499">
              <w:t>provides for the transition to</w:t>
            </w:r>
            <w:r w:rsidR="00F534F0">
              <w:t xml:space="preserve"> the new election date and the</w:t>
            </w:r>
            <w:r w:rsidR="00CC3803" w:rsidRPr="00E41499">
              <w:t xml:space="preserve"> new term length</w:t>
            </w:r>
            <w:r w:rsidR="00DA6CE5">
              <w:t xml:space="preserve"> by establishing dates on which the various board member positions will be scheduled for election</w:t>
            </w:r>
            <w:r w:rsidR="00CC3803" w:rsidRPr="00E41499">
              <w:t>.</w:t>
            </w:r>
            <w:r w:rsidR="004146C3" w:rsidRPr="00E41499">
              <w:t xml:space="preserve"> </w:t>
            </w:r>
          </w:p>
          <w:p w14:paraId="54BF16CD" w14:textId="41DA8812" w:rsidR="001F3A93" w:rsidRDefault="001F3A93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5E1A9B0" w14:textId="42FB8EBA" w:rsidR="00D4763C" w:rsidRDefault="007C117B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 w:rsidR="00EC3B2E">
              <w:t xml:space="preserve"> 1535</w:t>
            </w:r>
            <w:r>
              <w:t xml:space="preserve"> </w:t>
            </w:r>
            <w:r w:rsidR="00152060">
              <w:t xml:space="preserve">provides for the appointment by the board, from its membership, of any officers </w:t>
            </w:r>
            <w:r w:rsidR="00152060" w:rsidRPr="00152060">
              <w:t xml:space="preserve">the </w:t>
            </w:r>
            <w:r w:rsidR="00152060">
              <w:t>b</w:t>
            </w:r>
            <w:r w:rsidR="00152060" w:rsidRPr="00152060">
              <w:t>oard considers necessary</w:t>
            </w:r>
            <w:r w:rsidR="00152060">
              <w:t xml:space="preserve">, in addition to the </w:t>
            </w:r>
            <w:r w:rsidR="00593353">
              <w:t>existent</w:t>
            </w:r>
            <w:r w:rsidR="00593353" w:rsidRPr="00152060">
              <w:t xml:space="preserve"> </w:t>
            </w:r>
            <w:r w:rsidR="00152060">
              <w:t>c</w:t>
            </w:r>
            <w:r w:rsidR="00152060" w:rsidRPr="00152060">
              <w:t xml:space="preserve">hairman, </w:t>
            </w:r>
            <w:r w:rsidR="00152060">
              <w:t>v</w:t>
            </w:r>
            <w:r w:rsidR="00152060" w:rsidRPr="00152060">
              <w:t>ice-</w:t>
            </w:r>
            <w:r w:rsidR="00152060">
              <w:t>c</w:t>
            </w:r>
            <w:r w:rsidR="00152060" w:rsidRPr="00152060">
              <w:t xml:space="preserve">hairman, </w:t>
            </w:r>
            <w:r w:rsidR="00152060">
              <w:t>s</w:t>
            </w:r>
            <w:r w:rsidR="00152060" w:rsidRPr="00152060">
              <w:t>ecretary</w:t>
            </w:r>
            <w:r w:rsidR="00152060">
              <w:t>,</w:t>
            </w:r>
            <w:r w:rsidR="00152060" w:rsidRPr="00152060">
              <w:t xml:space="preserve"> and </w:t>
            </w:r>
            <w:r w:rsidR="00152060">
              <w:t>t</w:t>
            </w:r>
            <w:r w:rsidR="00152060" w:rsidRPr="00152060">
              <w:t>reasurer</w:t>
            </w:r>
            <w:r w:rsidR="00593353">
              <w:t xml:space="preserve"> positions</w:t>
            </w:r>
            <w:r w:rsidR="00152060">
              <w:t xml:space="preserve">. The bill </w:t>
            </w:r>
            <w:r w:rsidR="00593353">
              <w:t xml:space="preserve">expands the scope of </w:t>
            </w:r>
            <w:r w:rsidR="00EC3B2E">
              <w:t xml:space="preserve">the board's </w:t>
            </w:r>
            <w:r w:rsidR="00593353">
              <w:t xml:space="preserve">current </w:t>
            </w:r>
            <w:r w:rsidR="00EC3B2E">
              <w:t xml:space="preserve">authority to appoint </w:t>
            </w:r>
            <w:r w:rsidR="00EC3B2E" w:rsidRPr="00EC3B2E">
              <w:t xml:space="preserve">an </w:t>
            </w:r>
            <w:r w:rsidR="00EC3B2E">
              <w:t>a</w:t>
            </w:r>
            <w:r w:rsidR="00EC3B2E" w:rsidRPr="00EC3B2E">
              <w:t xml:space="preserve">ssistant </w:t>
            </w:r>
            <w:r w:rsidR="00EC3B2E">
              <w:t>s</w:t>
            </w:r>
            <w:r w:rsidR="00EC3B2E" w:rsidRPr="00EC3B2E">
              <w:t xml:space="preserve">ecretary and an </w:t>
            </w:r>
            <w:r w:rsidR="00EC3B2E">
              <w:t>a</w:t>
            </w:r>
            <w:r w:rsidR="00EC3B2E" w:rsidRPr="00EC3B2E">
              <w:t xml:space="preserve">ssistant </w:t>
            </w:r>
            <w:r w:rsidR="00EC3B2E">
              <w:t>t</w:t>
            </w:r>
            <w:r w:rsidR="00EC3B2E" w:rsidRPr="00EC3B2E">
              <w:t>reasurer</w:t>
            </w:r>
            <w:r w:rsidR="00EC3B2E">
              <w:t xml:space="preserve"> </w:t>
            </w:r>
            <w:r w:rsidR="00593353">
              <w:t>by</w:t>
            </w:r>
            <w:r w:rsidR="00EC3B2E">
              <w:t xml:space="preserve"> authori</w:t>
            </w:r>
            <w:r w:rsidR="00593353">
              <w:t>zing</w:t>
            </w:r>
            <w:r w:rsidR="00EC3B2E" w:rsidRPr="00EC3B2E">
              <w:t xml:space="preserve"> the board</w:t>
            </w:r>
            <w:r w:rsidR="00152060">
              <w:t xml:space="preserve"> to</w:t>
            </w:r>
            <w:r w:rsidR="00EC3B2E" w:rsidRPr="00EC3B2E">
              <w:t xml:space="preserve"> appoint</w:t>
            </w:r>
            <w:r w:rsidR="00EC3B2E">
              <w:t xml:space="preserve"> any</w:t>
            </w:r>
            <w:r w:rsidR="00EC3B2E" w:rsidRPr="00EC3B2E">
              <w:t xml:space="preserve"> assistant officers the </w:t>
            </w:r>
            <w:r w:rsidR="00EC3B2E">
              <w:t>b</w:t>
            </w:r>
            <w:r w:rsidR="00EC3B2E" w:rsidRPr="00EC3B2E">
              <w:t>oard considers necessary</w:t>
            </w:r>
            <w:r w:rsidR="00EC3B2E">
              <w:t>.</w:t>
            </w:r>
            <w:r w:rsidR="009424F4">
              <w:t xml:space="preserve"> The bill </w:t>
            </w:r>
            <w:r w:rsidR="00DE5AD4">
              <w:t xml:space="preserve">revises </w:t>
            </w:r>
            <w:r w:rsidR="009424F4">
              <w:t xml:space="preserve">the </w:t>
            </w:r>
            <w:r w:rsidR="00DE5AD4">
              <w:t>requirement for</w:t>
            </w:r>
            <w:r w:rsidR="009424F4">
              <w:t xml:space="preserve"> </w:t>
            </w:r>
            <w:r>
              <w:t>r</w:t>
            </w:r>
            <w:r w:rsidRPr="00D4763C">
              <w:t>egular and special</w:t>
            </w:r>
            <w:r>
              <w:t xml:space="preserve"> board</w:t>
            </w:r>
            <w:r w:rsidRPr="00D4763C">
              <w:t xml:space="preserve"> meetings</w:t>
            </w:r>
            <w:r w:rsidR="00DE5AD4">
              <w:t xml:space="preserve"> to be held</w:t>
            </w:r>
            <w:r>
              <w:t xml:space="preserve">, </w:t>
            </w:r>
            <w:r w:rsidR="00DE5AD4">
              <w:t xml:space="preserve">as well as </w:t>
            </w:r>
            <w:r>
              <w:t>the</w:t>
            </w:r>
            <w:r w:rsidR="00DE5AD4">
              <w:t xml:space="preserve"> requirement for</w:t>
            </w:r>
            <w:r>
              <w:t xml:space="preserve"> meeting notices</w:t>
            </w:r>
            <w:r w:rsidR="00DE5AD4">
              <w:t xml:space="preserve"> to be given</w:t>
            </w:r>
            <w:r>
              <w:t xml:space="preserve">, </w:t>
            </w:r>
            <w:r w:rsidR="00DE5AD4">
              <w:t xml:space="preserve">as provided by SARA bylaws to subject these meetings and the giving of meeting notices also </w:t>
            </w:r>
            <w:r>
              <w:t xml:space="preserve">to general law. </w:t>
            </w:r>
          </w:p>
          <w:p w14:paraId="542492EC" w14:textId="1A2539EF" w:rsidR="00291747" w:rsidRDefault="00291747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134ABF8" w14:textId="12C9E157" w:rsidR="003709E7" w:rsidRDefault="007C117B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1535 removes a provision that authorizes SARA</w:t>
            </w:r>
            <w:r w:rsidRPr="00291747">
              <w:t xml:space="preserve"> bylaws </w:t>
            </w:r>
            <w:r>
              <w:t>to</w:t>
            </w:r>
            <w:r w:rsidRPr="00291747">
              <w:t xml:space="preserve"> provide for the desig</w:t>
            </w:r>
            <w:r w:rsidRPr="00291747">
              <w:t xml:space="preserve">nation by the </w:t>
            </w:r>
            <w:r>
              <w:t>b</w:t>
            </w:r>
            <w:r w:rsidRPr="00291747">
              <w:t xml:space="preserve">oard of an </w:t>
            </w:r>
            <w:r>
              <w:t>e</w:t>
            </w:r>
            <w:r w:rsidRPr="00291747">
              <w:t xml:space="preserve">xecutive </w:t>
            </w:r>
            <w:r>
              <w:t>c</w:t>
            </w:r>
            <w:r w:rsidRPr="00291747">
              <w:t xml:space="preserve">ommittee of five members upon whom the </w:t>
            </w:r>
            <w:r>
              <w:t>d</w:t>
            </w:r>
            <w:r w:rsidRPr="00291747">
              <w:t xml:space="preserve">istrict's </w:t>
            </w:r>
            <w:r>
              <w:t>m</w:t>
            </w:r>
            <w:r w:rsidRPr="00291747">
              <w:t xml:space="preserve">anager may call for policy decisions and advice concerning matters which arise between </w:t>
            </w:r>
            <w:r w:rsidR="00317684">
              <w:t xml:space="preserve">board </w:t>
            </w:r>
            <w:r w:rsidRPr="00291747">
              <w:t xml:space="preserve">meetings and </w:t>
            </w:r>
            <w:r>
              <w:t xml:space="preserve">that </w:t>
            </w:r>
            <w:r w:rsidR="00317684">
              <w:t>may</w:t>
            </w:r>
            <w:r w:rsidRPr="00291747">
              <w:t xml:space="preserve"> authorize, on</w:t>
            </w:r>
            <w:r>
              <w:t xml:space="preserve"> the district's</w:t>
            </w:r>
            <w:r w:rsidRPr="00291747">
              <w:t xml:space="preserve"> behalf, the execution of</w:t>
            </w:r>
            <w:r w:rsidRPr="00291747">
              <w:t xml:space="preserve"> any contract involving the expenditure of a</w:t>
            </w:r>
            <w:r>
              <w:t xml:space="preserve"> maximum</w:t>
            </w:r>
            <w:r w:rsidRPr="00291747">
              <w:t xml:space="preserve"> amount </w:t>
            </w:r>
            <w:r>
              <w:t xml:space="preserve">of </w:t>
            </w:r>
            <w:r w:rsidRPr="00291747">
              <w:t>$20,000</w:t>
            </w:r>
            <w:r>
              <w:t>.</w:t>
            </w:r>
            <w:r w:rsidR="005F3CBA">
              <w:t xml:space="preserve"> </w:t>
            </w:r>
            <w:r w:rsidR="003F3B72">
              <w:t xml:space="preserve">The bill replaces the majority </w:t>
            </w:r>
            <w:r w:rsidR="00D24665">
              <w:t xml:space="preserve">vote required for </w:t>
            </w:r>
            <w:r w:rsidR="003F3B72">
              <w:t>SARA's</w:t>
            </w:r>
            <w:r w:rsidR="003F3B72" w:rsidRPr="003F3B72">
              <w:t xml:space="preserve"> </w:t>
            </w:r>
            <w:r w:rsidR="00D24665">
              <w:t xml:space="preserve">board to exercise SARA's </w:t>
            </w:r>
            <w:r w:rsidR="003F3B72" w:rsidRPr="003F3B72">
              <w:t>powers, rights, privileges</w:t>
            </w:r>
            <w:r w:rsidR="005F3CBA">
              <w:t>,</w:t>
            </w:r>
            <w:r w:rsidR="003F3B72" w:rsidRPr="003F3B72">
              <w:t xml:space="preserve"> and functions </w:t>
            </w:r>
            <w:r w:rsidR="003F3B72">
              <w:t xml:space="preserve">from </w:t>
            </w:r>
            <w:r w:rsidR="005F3CBA" w:rsidRPr="005F3CBA">
              <w:t xml:space="preserve">a majority of </w:t>
            </w:r>
            <w:r w:rsidR="003F3B72" w:rsidRPr="003F3B72">
              <w:t xml:space="preserve">those </w:t>
            </w:r>
            <w:r w:rsidR="003F3B72">
              <w:t>members</w:t>
            </w:r>
            <w:r w:rsidR="003F3B72" w:rsidRPr="003F3B72">
              <w:t xml:space="preserve"> present at any</w:t>
            </w:r>
            <w:r w:rsidR="005F3CBA">
              <w:t xml:space="preserve"> applicable</w:t>
            </w:r>
            <w:r w:rsidR="003F3B72" w:rsidRPr="003F3B72">
              <w:t xml:space="preserve"> meeting of the </w:t>
            </w:r>
            <w:r w:rsidR="003F3B72">
              <w:t>b</w:t>
            </w:r>
            <w:r w:rsidR="003F3B72" w:rsidRPr="003F3B72">
              <w:t>oard</w:t>
            </w:r>
            <w:r w:rsidR="003F3B72">
              <w:t xml:space="preserve"> </w:t>
            </w:r>
            <w:r w:rsidR="005F3CBA">
              <w:t xml:space="preserve">constituting </w:t>
            </w:r>
            <w:r w:rsidR="005F3CBA" w:rsidRPr="005F3CBA">
              <w:t>a quorum</w:t>
            </w:r>
            <w:r w:rsidR="005F3CBA">
              <w:t xml:space="preserve"> to </w:t>
            </w:r>
            <w:r w:rsidR="005F3CBA" w:rsidRPr="005F3CBA">
              <w:t xml:space="preserve">a majority of the </w:t>
            </w:r>
            <w:r w:rsidR="00317684">
              <w:t xml:space="preserve">board's </w:t>
            </w:r>
            <w:r w:rsidR="00D24665">
              <w:t xml:space="preserve">total </w:t>
            </w:r>
            <w:r w:rsidR="005F3CBA" w:rsidRPr="005F3CBA">
              <w:t>membership</w:t>
            </w:r>
            <w:r w:rsidR="005F3CBA">
              <w:t>.</w:t>
            </w:r>
            <w:r w:rsidR="00C52167">
              <w:t xml:space="preserve"> </w:t>
            </w:r>
            <w:r>
              <w:t xml:space="preserve">The bill changes </w:t>
            </w:r>
            <w:r w:rsidR="00D24665">
              <w:t xml:space="preserve">the vote required to approve certain wholesale contracts </w:t>
            </w:r>
            <w:r>
              <w:t xml:space="preserve">from </w:t>
            </w:r>
            <w:r w:rsidRPr="003709E7">
              <w:t xml:space="preserve">at least seven </w:t>
            </w:r>
            <w:r w:rsidR="00D24665">
              <w:t>affirmative votes, with a requirement that these votes come from specified members,</w:t>
            </w:r>
            <w:r>
              <w:t xml:space="preserve"> to </w:t>
            </w:r>
            <w:r w:rsidRPr="003709E7">
              <w:t xml:space="preserve">a </w:t>
            </w:r>
            <w:r w:rsidR="00D24665">
              <w:t xml:space="preserve">simple </w:t>
            </w:r>
            <w:r w:rsidRPr="003709E7">
              <w:t>majority of the</w:t>
            </w:r>
            <w:r>
              <w:t xml:space="preserve"> board's</w:t>
            </w:r>
            <w:r w:rsidRPr="003709E7">
              <w:t xml:space="preserve"> </w:t>
            </w:r>
            <w:r w:rsidR="00D24665">
              <w:t xml:space="preserve">total </w:t>
            </w:r>
            <w:r w:rsidRPr="003709E7">
              <w:t>membership</w:t>
            </w:r>
            <w:r w:rsidR="00C52167">
              <w:t>.</w:t>
            </w:r>
          </w:p>
          <w:p w14:paraId="571B183E" w14:textId="16EB65AC" w:rsidR="00D4763C" w:rsidRDefault="007C117B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 </w:t>
            </w:r>
          </w:p>
          <w:p w14:paraId="6D295ED6" w14:textId="1D1128D9" w:rsidR="00273F00" w:rsidRDefault="007C117B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1535, with regard to a SARA property tax election, removes the following:</w:t>
            </w:r>
          </w:p>
          <w:p w14:paraId="6B91B6DA" w14:textId="738301DB" w:rsidR="00273F00" w:rsidRDefault="007C117B" w:rsidP="00907F2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F04029">
              <w:t>language limiting the</w:t>
            </w:r>
            <w:r>
              <w:t xml:space="preserve"> electors </w:t>
            </w:r>
            <w:r w:rsidRPr="00273F00">
              <w:t xml:space="preserve">entitled to vote in </w:t>
            </w:r>
            <w:r>
              <w:t>the</w:t>
            </w:r>
            <w:r w:rsidRPr="00273F00">
              <w:t xml:space="preserve"> election</w:t>
            </w:r>
            <w:r>
              <w:t xml:space="preserve"> to only those </w:t>
            </w:r>
            <w:r w:rsidRPr="00273F00">
              <w:t xml:space="preserve">qualified </w:t>
            </w:r>
            <w:r w:rsidRPr="00273F00">
              <w:t>electors</w:t>
            </w:r>
            <w:r>
              <w:t xml:space="preserve"> that</w:t>
            </w:r>
            <w:r w:rsidRPr="00273F00">
              <w:t xml:space="preserve"> own taxable property within </w:t>
            </w:r>
            <w:r>
              <w:t>SARA</w:t>
            </w:r>
            <w:r w:rsidRPr="00273F00">
              <w:t xml:space="preserve"> boundaries and who have duly rendered their property for taxation</w:t>
            </w:r>
            <w:r>
              <w:t>; and</w:t>
            </w:r>
          </w:p>
          <w:p w14:paraId="0835E4E2" w14:textId="7A2DC8AA" w:rsidR="00C82B37" w:rsidRDefault="007C117B" w:rsidP="00907F2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requirement that a qualified elector </w:t>
            </w:r>
            <w:r w:rsidRPr="00C82B37">
              <w:t xml:space="preserve">vote in the county of </w:t>
            </w:r>
            <w:r>
              <w:t>the elector's</w:t>
            </w:r>
            <w:r w:rsidRPr="00C82B37">
              <w:t xml:space="preserve"> residence and at the polling place designated for the precinc</w:t>
            </w:r>
            <w:r w:rsidRPr="00C82B37">
              <w:t xml:space="preserve">t of </w:t>
            </w:r>
            <w:r>
              <w:t>the</w:t>
            </w:r>
            <w:r w:rsidRPr="00C82B37">
              <w:t xml:space="preserve"> residence.</w:t>
            </w:r>
          </w:p>
          <w:p w14:paraId="7CB03CF4" w14:textId="212B5D54" w:rsidR="002C1AE8" w:rsidRDefault="007C117B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 </w:t>
            </w:r>
          </w:p>
          <w:p w14:paraId="1FDD4956" w14:textId="6BF89400" w:rsidR="002C1AE8" w:rsidRDefault="007C117B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1535 repeals provisions requir</w:t>
            </w:r>
            <w:r w:rsidR="00F04029">
              <w:t>ing</w:t>
            </w:r>
            <w:r>
              <w:t xml:space="preserve"> </w:t>
            </w:r>
            <w:r w:rsidR="00D63961">
              <w:t>SARA</w:t>
            </w:r>
            <w:r>
              <w:t xml:space="preserve"> to prepare a master plan</w:t>
            </w:r>
            <w:r w:rsidR="00BA13B0">
              <w:t xml:space="preserve"> for the maximum development of </w:t>
            </w:r>
            <w:r w:rsidR="003D3B7C">
              <w:t>its</w:t>
            </w:r>
            <w:r w:rsidR="00BA13B0">
              <w:t xml:space="preserve"> soil and water resources and that require </w:t>
            </w:r>
            <w:r w:rsidR="00BA13B0" w:rsidRPr="00590A9E">
              <w:t xml:space="preserve">the state auditor </w:t>
            </w:r>
            <w:r w:rsidR="00BA13B0">
              <w:t xml:space="preserve">to annually audit </w:t>
            </w:r>
            <w:r w:rsidR="00590A9E">
              <w:t>the authority for a fiscal year that runs from July to June. The bill</w:t>
            </w:r>
            <w:r w:rsidR="00F534F0">
              <w:t xml:space="preserve">, effective </w:t>
            </w:r>
            <w:r w:rsidR="00F534F0" w:rsidRPr="00F534F0">
              <w:t>January 1, 2025</w:t>
            </w:r>
            <w:r w:rsidR="00F534F0">
              <w:t>,</w:t>
            </w:r>
            <w:r w:rsidR="00590A9E">
              <w:t xml:space="preserve"> establishes that </w:t>
            </w:r>
            <w:r w:rsidR="00D63961">
              <w:t>SARA's</w:t>
            </w:r>
            <w:r w:rsidR="00590A9E" w:rsidRPr="004146C3">
              <w:t xml:space="preserve"> fiscal year ends on September 30 of each year</w:t>
            </w:r>
            <w:r w:rsidR="00590A9E">
              <w:t>.</w:t>
            </w:r>
          </w:p>
          <w:p w14:paraId="48F26618" w14:textId="16437CAA" w:rsidR="001E10CF" w:rsidRDefault="001E10CF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873FC53" w14:textId="68F15DE2" w:rsidR="001E10CF" w:rsidRDefault="007C117B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1535 authorizes </w:t>
            </w:r>
            <w:r w:rsidR="003D3B7C">
              <w:t>SARA</w:t>
            </w:r>
            <w:r>
              <w:t xml:space="preserve"> to contract or otherwise coordinate with a nonprofit organization, including an affiliated nonprofit org</w:t>
            </w:r>
            <w:r>
              <w:t xml:space="preserve">anization, to accomplish </w:t>
            </w:r>
            <w:r w:rsidR="003D3B7C">
              <w:t>SARA's</w:t>
            </w:r>
            <w:r>
              <w:t xml:space="preserve"> purposes. The bill defines "affiliated nonprofit organization" as a nonprofit organization created by </w:t>
            </w:r>
            <w:r w:rsidR="003D3B7C">
              <w:t>SARA</w:t>
            </w:r>
            <w:r>
              <w:t xml:space="preserve"> or for which </w:t>
            </w:r>
            <w:r w:rsidR="003D3B7C">
              <w:t>SARA</w:t>
            </w:r>
            <w:r>
              <w:t xml:space="preserve">, </w:t>
            </w:r>
            <w:r w:rsidR="003D3B7C">
              <w:t>its</w:t>
            </w:r>
            <w:r>
              <w:t xml:space="preserve"> board of directors, or </w:t>
            </w:r>
            <w:r w:rsidR="003D3B7C">
              <w:t>its</w:t>
            </w:r>
            <w:r>
              <w:t xml:space="preserve"> employees have a right to appoint one or more of the members of the </w:t>
            </w:r>
            <w:r w:rsidRPr="001E10CF">
              <w:t>nonprofit organization</w:t>
            </w:r>
            <w:r>
              <w:t>'s</w:t>
            </w:r>
            <w:r w:rsidRPr="001E10CF">
              <w:t xml:space="preserve"> </w:t>
            </w:r>
            <w:r>
              <w:t xml:space="preserve">governing body. The bill prohibits </w:t>
            </w:r>
            <w:r w:rsidR="003D3B7C">
              <w:t>SARA's board members</w:t>
            </w:r>
            <w:r>
              <w:t xml:space="preserve"> from constituting a majority of the board of directors or other governing body of an affiliated nonprofit </w:t>
            </w:r>
            <w:r>
              <w:t>organization</w:t>
            </w:r>
            <w:r w:rsidR="00745BBF">
              <w:t xml:space="preserve"> and prohibits SARA's e</w:t>
            </w:r>
            <w:r w:rsidR="00745BBF" w:rsidRPr="00745BBF">
              <w:t>mployees</w:t>
            </w:r>
            <w:r w:rsidR="00745BBF">
              <w:t xml:space="preserve"> from</w:t>
            </w:r>
            <w:r w:rsidR="00745BBF" w:rsidRPr="00745BBF">
              <w:t xml:space="preserve"> serv</w:t>
            </w:r>
            <w:r w:rsidR="00745BBF">
              <w:t>ing</w:t>
            </w:r>
            <w:r w:rsidR="00745BBF" w:rsidRPr="00745BBF">
              <w:t xml:space="preserve"> on </w:t>
            </w:r>
            <w:r w:rsidR="00745BBF">
              <w:t xml:space="preserve">such a </w:t>
            </w:r>
            <w:r w:rsidR="00745BBF" w:rsidRPr="00745BBF">
              <w:t>governing body.</w:t>
            </w:r>
            <w:r w:rsidR="00745BBF">
              <w:t xml:space="preserve"> </w:t>
            </w:r>
            <w:r w:rsidR="00D415FA">
              <w:t xml:space="preserve">The bill requires </w:t>
            </w:r>
            <w:r w:rsidR="003D3B7C">
              <w:t>SARA's</w:t>
            </w:r>
            <w:r w:rsidR="00D415FA">
              <w:t xml:space="preserve"> board of directors to</w:t>
            </w:r>
            <w:r>
              <w:t xml:space="preserve"> develop a policy regarding fundraising activities of any nonprofit organizations that enter into a partnership with </w:t>
            </w:r>
            <w:r w:rsidR="003D3B7C">
              <w:t>SARA</w:t>
            </w:r>
            <w:r>
              <w:t xml:space="preserve">. The </w:t>
            </w:r>
            <w:r>
              <w:t>policy must</w:t>
            </w:r>
            <w:r w:rsidR="00D415FA">
              <w:t xml:space="preserve"> do the following</w:t>
            </w:r>
            <w:r>
              <w:t>:</w:t>
            </w:r>
          </w:p>
          <w:p w14:paraId="3B021235" w14:textId="215BFD57" w:rsidR="001E10CF" w:rsidRDefault="007C117B" w:rsidP="00907F2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include acceptable and prohibited fundraising activities;</w:t>
            </w:r>
          </w:p>
          <w:p w14:paraId="4FBBE1A2" w14:textId="6112BD02" w:rsidR="001E10CF" w:rsidRDefault="007C117B" w:rsidP="00907F2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specify how fundraising is conducted and supervised; and</w:t>
            </w:r>
          </w:p>
          <w:p w14:paraId="2BB0C232" w14:textId="4BA43433" w:rsidR="001E10CF" w:rsidRDefault="007C117B" w:rsidP="00907F2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include criteria for seeking and selecting corporate sponsors to ensure that sponsorships serve the public inte</w:t>
            </w:r>
            <w:r>
              <w:t xml:space="preserve">rest and are consistent with </w:t>
            </w:r>
            <w:r w:rsidR="00B26292">
              <w:t>SARA</w:t>
            </w:r>
            <w:r w:rsidR="00D415FA">
              <w:t>'s</w:t>
            </w:r>
            <w:r>
              <w:t xml:space="preserve"> purposes.</w:t>
            </w:r>
          </w:p>
          <w:p w14:paraId="004B2BDA" w14:textId="770F11A5" w:rsidR="001E10CF" w:rsidRDefault="007C117B" w:rsidP="00907F28">
            <w:pPr>
              <w:pStyle w:val="Header"/>
              <w:jc w:val="both"/>
            </w:pPr>
            <w:r>
              <w:t xml:space="preserve">The bill requires a memorandum of understanding between </w:t>
            </w:r>
            <w:r w:rsidR="003D3B7C">
              <w:t>SARA</w:t>
            </w:r>
            <w:r>
              <w:t xml:space="preserve"> and an affiliated nonprofit organization entered into under these provisions to include this policy.</w:t>
            </w:r>
          </w:p>
          <w:p w14:paraId="598849F2" w14:textId="718BA26A" w:rsidR="003F0F43" w:rsidRDefault="003F0F43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4E2AACE" w14:textId="593DFB12" w:rsidR="006335A6" w:rsidRDefault="007C117B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1535 provides for the sale, lease, and</w:t>
            </w:r>
            <w:r>
              <w:t xml:space="preserve"> other disposition of SARA property as authorized by </w:t>
            </w:r>
            <w:r w:rsidRPr="00316AB6">
              <w:t xml:space="preserve">a general law applicable to </w:t>
            </w:r>
            <w:r>
              <w:t xml:space="preserve">SARA. </w:t>
            </w:r>
          </w:p>
          <w:p w14:paraId="073A39E8" w14:textId="77777777" w:rsidR="006335A6" w:rsidRDefault="006335A6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AE3FB96" w14:textId="3436538E" w:rsidR="008A27BB" w:rsidRDefault="007C117B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1535 </w:t>
            </w:r>
            <w:r w:rsidR="006510BA">
              <w:t xml:space="preserve">revises SARA's authority to </w:t>
            </w:r>
            <w:r w:rsidR="00955C93">
              <w:t>set</w:t>
            </w:r>
            <w:r w:rsidR="006510BA">
              <w:t xml:space="preserve"> a penalty for a violation of a</w:t>
            </w:r>
            <w:r w:rsidR="00955C93">
              <w:t>n applicable</w:t>
            </w:r>
            <w:r w:rsidR="006510BA">
              <w:t xml:space="preserve"> SARA rule or regulation to align that authority with the authority of certain water districts to </w:t>
            </w:r>
            <w:r w:rsidR="00955C93">
              <w:t xml:space="preserve">set a penalty for a violation of a district rule under </w:t>
            </w:r>
            <w:r w:rsidR="00F04029">
              <w:t xml:space="preserve">the </w:t>
            </w:r>
            <w:r w:rsidR="00955C93">
              <w:t>W</w:t>
            </w:r>
            <w:r w:rsidR="006510BA">
              <w:t>ater Code</w:t>
            </w:r>
            <w:r w:rsidR="00955C93">
              <w:t>.</w:t>
            </w:r>
            <w:r w:rsidR="00516316">
              <w:t xml:space="preserve"> The bill </w:t>
            </w:r>
            <w:r w:rsidR="00015C6B">
              <w:t>also</w:t>
            </w:r>
            <w:r w:rsidR="008D5D1F">
              <w:t xml:space="preserve"> aligns provisions relating to </w:t>
            </w:r>
            <w:r w:rsidR="00AB4C89">
              <w:t xml:space="preserve">SARA </w:t>
            </w:r>
            <w:r w:rsidR="008D5D1F">
              <w:t>enforcement costs</w:t>
            </w:r>
            <w:r w:rsidR="00015C6B">
              <w:t xml:space="preserve"> to those Water Code provisions</w:t>
            </w:r>
            <w:r w:rsidR="008D5D1F">
              <w:t>.</w:t>
            </w:r>
            <w:r w:rsidR="00AE3A8F">
              <w:t xml:space="preserve"> </w:t>
            </w:r>
          </w:p>
          <w:p w14:paraId="1F6D2296" w14:textId="7A9492B4" w:rsidR="009A52E2" w:rsidRDefault="009A52E2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1065932" w14:textId="7011FD57" w:rsidR="003E2D6E" w:rsidRDefault="007C117B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1535</w:t>
            </w:r>
            <w:r w:rsidR="005C2E1F">
              <w:t xml:space="preserve"> revises certain contracting authority of SARA to align that authority with Water Code provisions applicable to certain water districts.</w:t>
            </w:r>
            <w:r>
              <w:t xml:space="preserve"> The bill authorizes SARA to</w:t>
            </w:r>
            <w:r w:rsidRPr="003E2D6E">
              <w:t xml:space="preserve"> use any procurement method under applicable general law</w:t>
            </w:r>
            <w:r>
              <w:t>.</w:t>
            </w:r>
          </w:p>
          <w:p w14:paraId="56B5365F" w14:textId="7D30E983" w:rsidR="00915460" w:rsidRDefault="00915460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EF58110" w14:textId="23303432" w:rsidR="00915460" w:rsidRDefault="007C117B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1535 </w:t>
            </w:r>
            <w:r>
              <w:t xml:space="preserve">removes SARA's authority to </w:t>
            </w:r>
            <w:r w:rsidRPr="00EB723E">
              <w:t xml:space="preserve">condemn </w:t>
            </w:r>
            <w:r w:rsidRPr="00915460">
              <w:t>lands used or dedicated for cemetery purposes</w:t>
            </w:r>
            <w:r>
              <w:t>.</w:t>
            </w:r>
          </w:p>
          <w:p w14:paraId="57DE45C5" w14:textId="0527858A" w:rsidR="006335A6" w:rsidRDefault="006335A6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83AB2FB" w14:textId="5A76017D" w:rsidR="006335A6" w:rsidRDefault="007C117B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1535 decreases from three to two the number of consecutive weeks required for publication for the following notices:</w:t>
            </w:r>
          </w:p>
          <w:p w14:paraId="03EBCA97" w14:textId="303CDABA" w:rsidR="006335A6" w:rsidRDefault="007C117B" w:rsidP="00907F2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notice of a </w:t>
            </w:r>
            <w:r w:rsidR="00015C6B">
              <w:t xml:space="preserve">SARA </w:t>
            </w:r>
            <w:r>
              <w:t>rule or regulation a violatio</w:t>
            </w:r>
            <w:r>
              <w:t>n of which results in a penalty</w:t>
            </w:r>
            <w:r w:rsidR="005C05D6">
              <w:t>;</w:t>
            </w:r>
          </w:p>
          <w:p w14:paraId="241E6E2E" w14:textId="18A87D5F" w:rsidR="006335A6" w:rsidRDefault="007C117B" w:rsidP="00907F2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alternative notice of a SARA ordinance</w:t>
            </w:r>
            <w:r w:rsidR="005C05D6">
              <w:t>;</w:t>
            </w:r>
          </w:p>
          <w:p w14:paraId="128AA980" w14:textId="23725F3A" w:rsidR="006335A6" w:rsidRDefault="007C117B" w:rsidP="00907F2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notice for certain </w:t>
            </w:r>
            <w:r w:rsidR="00015C6B">
              <w:t>SARA</w:t>
            </w:r>
            <w:r>
              <w:t xml:space="preserve"> contracts</w:t>
            </w:r>
            <w:r w:rsidR="003709E7">
              <w:t>; and</w:t>
            </w:r>
          </w:p>
          <w:p w14:paraId="6062CFB3" w14:textId="4578CE47" w:rsidR="006335A6" w:rsidRDefault="007C117B" w:rsidP="00907F2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notice of certain sales of a SARA property or property interest.</w:t>
            </w:r>
          </w:p>
          <w:p w14:paraId="4E4E314C" w14:textId="77777777" w:rsidR="009A52E2" w:rsidRDefault="009A52E2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97E1BBA" w14:textId="1F3F3CC9" w:rsidR="00DE25F5" w:rsidRPr="009C36CD" w:rsidRDefault="007C117B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1535 repeals </w:t>
            </w:r>
            <w:r w:rsidRPr="00DE25F5">
              <w:t xml:space="preserve">Sections </w:t>
            </w:r>
            <w:r w:rsidR="00432777" w:rsidRPr="00432777">
              <w:t xml:space="preserve">1(c), </w:t>
            </w:r>
            <w:r w:rsidRPr="00DE25F5">
              <w:t>4-a</w:t>
            </w:r>
            <w:r w:rsidR="00432777">
              <w:t>,</w:t>
            </w:r>
            <w:r w:rsidRPr="00DE25F5">
              <w:t xml:space="preserve"> and 14-a, Chapter 276, Acts of the 4</w:t>
            </w:r>
            <w:r w:rsidRPr="00DE25F5">
              <w:t>5th Legislature, Regular Session, 1937.</w:t>
            </w:r>
          </w:p>
          <w:p w14:paraId="4D49AE4E" w14:textId="77777777" w:rsidR="008423E4" w:rsidRPr="00835628" w:rsidRDefault="008423E4" w:rsidP="00907F28">
            <w:pPr>
              <w:rPr>
                <w:b/>
              </w:rPr>
            </w:pPr>
          </w:p>
        </w:tc>
      </w:tr>
      <w:tr w:rsidR="003F0ACF" w14:paraId="10754311" w14:textId="77777777" w:rsidTr="00345119">
        <w:tc>
          <w:tcPr>
            <w:tcW w:w="9576" w:type="dxa"/>
          </w:tcPr>
          <w:p w14:paraId="015B66E6" w14:textId="77777777" w:rsidR="008423E4" w:rsidRPr="00A8133F" w:rsidRDefault="007C117B" w:rsidP="00907F2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A873270" w14:textId="77777777" w:rsidR="008423E4" w:rsidRDefault="008423E4" w:rsidP="00907F28"/>
          <w:p w14:paraId="1FA6C4F6" w14:textId="4F627C09" w:rsidR="008423E4" w:rsidRPr="003624F2" w:rsidRDefault="007C117B" w:rsidP="00907F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Except as otherwise provided, o</w:t>
            </w:r>
            <w:r w:rsidR="006A45E2">
              <w:t>n passage, or, if the bill does not receive the necessary vote, September 1, 2023.</w:t>
            </w:r>
          </w:p>
          <w:p w14:paraId="5BDEE147" w14:textId="77777777" w:rsidR="008423E4" w:rsidRPr="00233FDB" w:rsidRDefault="008423E4" w:rsidP="00907F28">
            <w:pPr>
              <w:rPr>
                <w:b/>
              </w:rPr>
            </w:pPr>
          </w:p>
        </w:tc>
      </w:tr>
      <w:tr w:rsidR="003F0ACF" w14:paraId="09AA4DB6" w14:textId="77777777" w:rsidTr="00345119">
        <w:tc>
          <w:tcPr>
            <w:tcW w:w="9576" w:type="dxa"/>
          </w:tcPr>
          <w:p w14:paraId="659EDAA6" w14:textId="77777777" w:rsidR="0046587C" w:rsidRDefault="007C117B" w:rsidP="00907F2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1924795" w14:textId="77777777" w:rsidR="00892140" w:rsidRDefault="00892140" w:rsidP="00907F28">
            <w:pPr>
              <w:jc w:val="both"/>
            </w:pPr>
          </w:p>
          <w:p w14:paraId="12C99552" w14:textId="3F647CB7" w:rsidR="00892140" w:rsidRDefault="007C117B" w:rsidP="00907F28">
            <w:pPr>
              <w:jc w:val="both"/>
            </w:pPr>
            <w:r>
              <w:t xml:space="preserve">While C.S.H.B. 1535 may differ from </w:t>
            </w:r>
            <w:r>
              <w:t>the introduced in minor or nonsubstantive ways, the following summarizes the substantial differences between the introduced and committee substitute versions of the bill.</w:t>
            </w:r>
          </w:p>
          <w:p w14:paraId="0D115B04" w14:textId="6DDD5675" w:rsidR="00EF5771" w:rsidRDefault="00EF5771" w:rsidP="00907F28">
            <w:pPr>
              <w:jc w:val="both"/>
            </w:pPr>
          </w:p>
          <w:p w14:paraId="5F4AB492" w14:textId="3C5A724F" w:rsidR="00EF5771" w:rsidRDefault="007C117B" w:rsidP="00907F28">
            <w:pPr>
              <w:jc w:val="both"/>
            </w:pPr>
            <w:r>
              <w:t xml:space="preserve">The substitute includes the following provisions that </w:t>
            </w:r>
            <w:r w:rsidR="006036C5">
              <w:t xml:space="preserve">were </w:t>
            </w:r>
            <w:r>
              <w:t>absent in the introduced:</w:t>
            </w:r>
          </w:p>
          <w:p w14:paraId="17347E28" w14:textId="26E9DDBB" w:rsidR="00EF5771" w:rsidRDefault="007C117B" w:rsidP="00907F28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provisions </w:t>
            </w:r>
            <w:r w:rsidR="00F4462E">
              <w:t xml:space="preserve">that </w:t>
            </w:r>
            <w:r>
              <w:t>chang</w:t>
            </w:r>
            <w:r w:rsidR="00F4462E">
              <w:t>e</w:t>
            </w:r>
            <w:r>
              <w:t xml:space="preserve"> the date of the </w:t>
            </w:r>
            <w:r w:rsidRPr="00EF1607">
              <w:t>biennial</w:t>
            </w:r>
            <w:r>
              <w:t xml:space="preserve"> board member election and the month </w:t>
            </w:r>
            <w:r w:rsidR="0064468C">
              <w:t>that</w:t>
            </w:r>
            <w:r>
              <w:t xml:space="preserve"> a member's term commences;</w:t>
            </w:r>
          </w:p>
          <w:p w14:paraId="5D3B8710" w14:textId="784534F9" w:rsidR="00F4462E" w:rsidRDefault="007C117B" w:rsidP="00907F28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a provision that provide</w:t>
            </w:r>
            <w:r w:rsidR="0064468C">
              <w:t>s</w:t>
            </w:r>
            <w:r>
              <w:t xml:space="preserve"> for the appointment by the board, from its membership, of any officers </w:t>
            </w:r>
            <w:r w:rsidRPr="00152060">
              <w:t xml:space="preserve">the </w:t>
            </w:r>
            <w:r>
              <w:t>b</w:t>
            </w:r>
            <w:r w:rsidRPr="00152060">
              <w:t>oard considers necessary</w:t>
            </w:r>
            <w:r>
              <w:t>, in addition</w:t>
            </w:r>
            <w:r>
              <w:t xml:space="preserve"> to the </w:t>
            </w:r>
            <w:r w:rsidR="00BD70CD">
              <w:t>existent</w:t>
            </w:r>
            <w:r w:rsidR="00BD70CD" w:rsidRPr="00152060">
              <w:t xml:space="preserve"> </w:t>
            </w:r>
            <w:r>
              <w:t>c</w:t>
            </w:r>
            <w:r w:rsidRPr="00152060">
              <w:t xml:space="preserve">hairman, </w:t>
            </w:r>
            <w:r>
              <w:t>v</w:t>
            </w:r>
            <w:r w:rsidRPr="00152060">
              <w:t>ice-</w:t>
            </w:r>
            <w:r>
              <w:t>c</w:t>
            </w:r>
            <w:r w:rsidRPr="00152060">
              <w:t xml:space="preserve">hairman, </w:t>
            </w:r>
            <w:r>
              <w:t>s</w:t>
            </w:r>
            <w:r w:rsidRPr="00152060">
              <w:t>ecretary</w:t>
            </w:r>
            <w:r>
              <w:t>,</w:t>
            </w:r>
            <w:r w:rsidRPr="00152060">
              <w:t xml:space="preserve"> and </w:t>
            </w:r>
            <w:r>
              <w:t>t</w:t>
            </w:r>
            <w:r w:rsidRPr="00152060">
              <w:t>reasurer</w:t>
            </w:r>
            <w:r w:rsidR="00BD70CD">
              <w:t xml:space="preserve"> positions</w:t>
            </w:r>
            <w:r>
              <w:t>;</w:t>
            </w:r>
          </w:p>
          <w:p w14:paraId="7284A8D4" w14:textId="5FADD4F7" w:rsidR="00F4462E" w:rsidRDefault="007C117B" w:rsidP="00907F28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a provision that </w:t>
            </w:r>
            <w:r w:rsidR="00BD70CD">
              <w:t xml:space="preserve">expands </w:t>
            </w:r>
            <w:r>
              <w:t>the</w:t>
            </w:r>
            <w:r w:rsidR="00BD70CD">
              <w:t xml:space="preserve"> scope of the</w:t>
            </w:r>
            <w:r>
              <w:t xml:space="preserve"> board's </w:t>
            </w:r>
            <w:r w:rsidR="00BD70CD">
              <w:t xml:space="preserve">current </w:t>
            </w:r>
            <w:r>
              <w:t xml:space="preserve">authority to appoint </w:t>
            </w:r>
            <w:r w:rsidRPr="00EC3B2E">
              <w:t xml:space="preserve">an </w:t>
            </w:r>
            <w:r>
              <w:t>a</w:t>
            </w:r>
            <w:r w:rsidRPr="00EC3B2E">
              <w:t xml:space="preserve">ssistant </w:t>
            </w:r>
            <w:r>
              <w:t>s</w:t>
            </w:r>
            <w:r w:rsidRPr="00EC3B2E">
              <w:t xml:space="preserve">ecretary and an </w:t>
            </w:r>
            <w:r>
              <w:t>a</w:t>
            </w:r>
            <w:r w:rsidRPr="00EC3B2E">
              <w:t xml:space="preserve">ssistant </w:t>
            </w:r>
            <w:r>
              <w:t>t</w:t>
            </w:r>
            <w:r w:rsidRPr="00EC3B2E">
              <w:t>reasurer</w:t>
            </w:r>
            <w:r>
              <w:t xml:space="preserve"> </w:t>
            </w:r>
            <w:r w:rsidR="00BD70CD">
              <w:t>to</w:t>
            </w:r>
            <w:r>
              <w:t xml:space="preserve"> authori</w:t>
            </w:r>
            <w:r w:rsidR="00BD70CD">
              <w:t>ze</w:t>
            </w:r>
            <w:r w:rsidRPr="00EC3B2E">
              <w:t xml:space="preserve"> the board</w:t>
            </w:r>
            <w:r>
              <w:t xml:space="preserve"> to</w:t>
            </w:r>
            <w:r w:rsidRPr="00EC3B2E">
              <w:t xml:space="preserve"> appoint</w:t>
            </w:r>
            <w:r>
              <w:t xml:space="preserve"> any</w:t>
            </w:r>
            <w:r w:rsidRPr="00EC3B2E">
              <w:t xml:space="preserve"> assistant o</w:t>
            </w:r>
            <w:r w:rsidRPr="00EC3B2E">
              <w:t xml:space="preserve">fficers the </w:t>
            </w:r>
            <w:r>
              <w:t>b</w:t>
            </w:r>
            <w:r w:rsidRPr="00EC3B2E">
              <w:t>oard considers necessary</w:t>
            </w:r>
            <w:r>
              <w:t>;</w:t>
            </w:r>
          </w:p>
          <w:p w14:paraId="0338CC6D" w14:textId="38EC2F74" w:rsidR="00F4462E" w:rsidRDefault="007C117B" w:rsidP="00907F28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a provision that subjects the holding of r</w:t>
            </w:r>
            <w:r w:rsidRPr="00D4763C">
              <w:t>egular and special</w:t>
            </w:r>
            <w:r>
              <w:t xml:space="preserve"> board</w:t>
            </w:r>
            <w:r w:rsidRPr="00D4763C">
              <w:t xml:space="preserve"> meetings</w:t>
            </w:r>
            <w:r>
              <w:t>, and the giving of meeting notices, to general law;</w:t>
            </w:r>
          </w:p>
          <w:p w14:paraId="2B544944" w14:textId="5B8B8AF8" w:rsidR="00F4462E" w:rsidRDefault="007C117B" w:rsidP="00907F28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a provision that removes the authorization for SARA</w:t>
            </w:r>
            <w:r w:rsidRPr="00291747">
              <w:t xml:space="preserve"> bylaws </w:t>
            </w:r>
            <w:r>
              <w:t>to</w:t>
            </w:r>
            <w:r w:rsidRPr="00291747">
              <w:t xml:space="preserve"> provide for the designation</w:t>
            </w:r>
            <w:r w:rsidRPr="00291747">
              <w:t xml:space="preserve"> by the </w:t>
            </w:r>
            <w:r>
              <w:t>b</w:t>
            </w:r>
            <w:r w:rsidRPr="00291747">
              <w:t xml:space="preserve">oard of an </w:t>
            </w:r>
            <w:r>
              <w:t>e</w:t>
            </w:r>
            <w:r w:rsidRPr="00291747">
              <w:t xml:space="preserve">xecutive </w:t>
            </w:r>
            <w:r>
              <w:t>c</w:t>
            </w:r>
            <w:r w:rsidRPr="00291747">
              <w:t>ommittee</w:t>
            </w:r>
            <w:r>
              <w:t>;</w:t>
            </w:r>
          </w:p>
          <w:p w14:paraId="09AA853C" w14:textId="22133470" w:rsidR="00F4462E" w:rsidRDefault="007C117B" w:rsidP="00907F28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a provision that replaces the majority by which SARA's</w:t>
            </w:r>
            <w:r w:rsidRPr="003F3B72">
              <w:t xml:space="preserve"> powers, rights, privileges</w:t>
            </w:r>
            <w:r>
              <w:t>,</w:t>
            </w:r>
            <w:r w:rsidRPr="003F3B72">
              <w:t xml:space="preserve"> and functions may be exercised</w:t>
            </w:r>
            <w:r>
              <w:t xml:space="preserve"> from </w:t>
            </w:r>
            <w:r w:rsidRPr="005F3CBA">
              <w:t xml:space="preserve">a majority of </w:t>
            </w:r>
            <w:r w:rsidRPr="003F3B72">
              <w:t>th</w:t>
            </w:r>
            <w:r w:rsidR="00BD70CD">
              <w:t>e</w:t>
            </w:r>
            <w:r w:rsidRPr="003F3B72">
              <w:t xml:space="preserve"> </w:t>
            </w:r>
            <w:r>
              <w:t>members</w:t>
            </w:r>
            <w:r w:rsidRPr="003F3B72">
              <w:t xml:space="preserve"> present at any</w:t>
            </w:r>
            <w:r>
              <w:t xml:space="preserve"> applicable</w:t>
            </w:r>
            <w:r w:rsidRPr="003F3B72">
              <w:t xml:space="preserve"> </w:t>
            </w:r>
            <w:r w:rsidR="00BD70CD">
              <w:t xml:space="preserve">board </w:t>
            </w:r>
            <w:r w:rsidRPr="003F3B72">
              <w:t xml:space="preserve">meeting </w:t>
            </w:r>
            <w:r>
              <w:t xml:space="preserve">constituting </w:t>
            </w:r>
            <w:r w:rsidRPr="005F3CBA">
              <w:t>a quorum</w:t>
            </w:r>
            <w:r>
              <w:t xml:space="preserve"> to </w:t>
            </w:r>
            <w:r w:rsidRPr="005F3CBA">
              <w:t xml:space="preserve">a majority of the </w:t>
            </w:r>
            <w:r>
              <w:t xml:space="preserve">board's </w:t>
            </w:r>
            <w:r w:rsidR="00BD70CD">
              <w:t xml:space="preserve">total </w:t>
            </w:r>
            <w:r w:rsidRPr="005F3CBA">
              <w:t>membership</w:t>
            </w:r>
            <w:r>
              <w:t>;</w:t>
            </w:r>
          </w:p>
          <w:p w14:paraId="6F523F1B" w14:textId="4118718C" w:rsidR="00F4462E" w:rsidRDefault="007C117B" w:rsidP="00907F28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a provision that changes </w:t>
            </w:r>
            <w:r w:rsidR="00BD70CD">
              <w:t xml:space="preserve">the required vote for approval of certain contracts </w:t>
            </w:r>
            <w:r>
              <w:t xml:space="preserve">from </w:t>
            </w:r>
            <w:r w:rsidRPr="003709E7">
              <w:t xml:space="preserve">at </w:t>
            </w:r>
            <w:r w:rsidRPr="004455AD">
              <w:t xml:space="preserve">least seven </w:t>
            </w:r>
            <w:r>
              <w:t>certain board</w:t>
            </w:r>
            <w:r w:rsidRPr="003709E7">
              <w:t xml:space="preserve"> members</w:t>
            </w:r>
            <w:r>
              <w:t xml:space="preserve"> to </w:t>
            </w:r>
            <w:r w:rsidRPr="003709E7">
              <w:t>a majority of the</w:t>
            </w:r>
            <w:r>
              <w:t xml:space="preserve"> board's</w:t>
            </w:r>
            <w:r w:rsidRPr="003709E7">
              <w:t xml:space="preserve"> </w:t>
            </w:r>
            <w:r w:rsidR="00BD70CD">
              <w:t xml:space="preserve">total </w:t>
            </w:r>
            <w:r w:rsidRPr="003709E7">
              <w:t>membership</w:t>
            </w:r>
            <w:r>
              <w:t>;</w:t>
            </w:r>
          </w:p>
          <w:p w14:paraId="2CF9A763" w14:textId="35F614C0" w:rsidR="00F4462E" w:rsidRDefault="007C117B" w:rsidP="00907F28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provisions that relate to the qualified electo</w:t>
            </w:r>
            <w:r>
              <w:t>rs and their polling places for a SARA property tax election;</w:t>
            </w:r>
          </w:p>
          <w:p w14:paraId="795311DE" w14:textId="51AF3BDA" w:rsidR="002C5496" w:rsidRDefault="007C117B" w:rsidP="00907F28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a provision that provides for the sale, lease, and other disposition of SARA property as authorized by </w:t>
            </w:r>
            <w:r w:rsidRPr="00316AB6">
              <w:t xml:space="preserve">a general law applicable to </w:t>
            </w:r>
            <w:r>
              <w:t>SARA;</w:t>
            </w:r>
          </w:p>
          <w:p w14:paraId="09AC8B53" w14:textId="70BE5642" w:rsidR="002C5496" w:rsidRDefault="007C117B" w:rsidP="00907F28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provisions that revise SARA's authority to set a penalty </w:t>
            </w:r>
            <w:r>
              <w:t xml:space="preserve">for a violation of an applicable SARA rule or regulation to align that authority with the authority of certain water districts to set a penalty for a violation of a district rule under </w:t>
            </w:r>
            <w:r w:rsidR="00BD70CD">
              <w:t xml:space="preserve">the </w:t>
            </w:r>
            <w:r>
              <w:t>Water Code and that also align provisions relating to SARA enforcem</w:t>
            </w:r>
            <w:r>
              <w:t>ent costs to those Water Code provisions;</w:t>
            </w:r>
          </w:p>
          <w:p w14:paraId="4ADABDE2" w14:textId="4AABF5F8" w:rsidR="002C5496" w:rsidRDefault="007C117B" w:rsidP="00907F28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provisions that revise certain contracting authority of SARA to align that authority with Water Code provisions applicable to certain water districts</w:t>
            </w:r>
            <w:r w:rsidR="00B80E12">
              <w:t xml:space="preserve"> and that</w:t>
            </w:r>
            <w:r>
              <w:t xml:space="preserve"> authorize SARA to</w:t>
            </w:r>
            <w:r w:rsidRPr="003E2D6E">
              <w:t xml:space="preserve"> use any procurement method under appl</w:t>
            </w:r>
            <w:r w:rsidRPr="003E2D6E">
              <w:t>icable general law</w:t>
            </w:r>
            <w:r w:rsidR="00B80E12">
              <w:t>;</w:t>
            </w:r>
          </w:p>
          <w:p w14:paraId="399C72B6" w14:textId="103D481A" w:rsidR="00B80E12" w:rsidRDefault="007C117B" w:rsidP="00907F28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a provision </w:t>
            </w:r>
            <w:r w:rsidR="00060FB9">
              <w:t xml:space="preserve">that </w:t>
            </w:r>
            <w:r>
              <w:t>remov</w:t>
            </w:r>
            <w:r w:rsidR="00060FB9">
              <w:t>e</w:t>
            </w:r>
            <w:r>
              <w:t xml:space="preserve">s SARA's authority to </w:t>
            </w:r>
            <w:r w:rsidRPr="00EB723E">
              <w:t xml:space="preserve">condemn </w:t>
            </w:r>
            <w:r w:rsidRPr="00915460">
              <w:t>lands used or dedicated for cemetery purposes</w:t>
            </w:r>
            <w:r>
              <w:t>; and</w:t>
            </w:r>
          </w:p>
          <w:p w14:paraId="4337FEE0" w14:textId="57BB218C" w:rsidR="00B80E12" w:rsidRDefault="007C117B" w:rsidP="00907F28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provisions that decrease from three to two the number of consecutive weeks required for publication of certain SARA notices.</w:t>
            </w:r>
          </w:p>
          <w:p w14:paraId="6F0387D4" w14:textId="757EBB76" w:rsidR="00CE6F24" w:rsidRDefault="00CE6F24" w:rsidP="00907F28">
            <w:pPr>
              <w:jc w:val="both"/>
            </w:pPr>
          </w:p>
          <w:p w14:paraId="19EAA0EB" w14:textId="4687BA39" w:rsidR="00CE6F24" w:rsidRDefault="007C117B" w:rsidP="00907F28">
            <w:pPr>
              <w:jc w:val="both"/>
            </w:pPr>
            <w:r>
              <w:t>With r</w:t>
            </w:r>
            <w:r>
              <w:t>egard to the bill provision that establishes that SARA's</w:t>
            </w:r>
            <w:r w:rsidRPr="004146C3">
              <w:t xml:space="preserve"> fiscal year ends on September 30 of each year</w:t>
            </w:r>
            <w:r>
              <w:t xml:space="preserve">, the substitute provides an effective date of </w:t>
            </w:r>
            <w:r w:rsidRPr="00F534F0">
              <w:t>January 1, 2025</w:t>
            </w:r>
            <w:r>
              <w:t xml:space="preserve">, for that specific provision whereas the introduced did not provide an effective date </w:t>
            </w:r>
            <w:r>
              <w:t>specific to that provision.</w:t>
            </w:r>
          </w:p>
          <w:p w14:paraId="5FFFE7DC" w14:textId="776EC3E0" w:rsidR="002C5496" w:rsidRDefault="002C5496" w:rsidP="00907F28">
            <w:pPr>
              <w:jc w:val="both"/>
            </w:pPr>
          </w:p>
          <w:p w14:paraId="6F5D6A39" w14:textId="558814C9" w:rsidR="002C5496" w:rsidRDefault="007C117B" w:rsidP="00907F28">
            <w:pPr>
              <w:jc w:val="both"/>
            </w:pPr>
            <w:r w:rsidRPr="002C5496">
              <w:t>Whereas the introduced prohibited SARA's employees from constituting a majority of the board of directors or other governing body of an affiliated nonprofit organization, the substitute instead prohibits SARA's employees from s</w:t>
            </w:r>
            <w:r w:rsidRPr="002C5496">
              <w:t>erving on such a governing body.</w:t>
            </w:r>
          </w:p>
          <w:p w14:paraId="69A56897" w14:textId="5A7228E7" w:rsidR="00892140" w:rsidRPr="00892140" w:rsidRDefault="00892140" w:rsidP="00907F28">
            <w:pPr>
              <w:jc w:val="both"/>
            </w:pPr>
          </w:p>
        </w:tc>
      </w:tr>
      <w:tr w:rsidR="003F0ACF" w14:paraId="4023A6E2" w14:textId="77777777" w:rsidTr="00345119">
        <w:tc>
          <w:tcPr>
            <w:tcW w:w="9576" w:type="dxa"/>
          </w:tcPr>
          <w:p w14:paraId="2EFD228F" w14:textId="77777777" w:rsidR="0046587C" w:rsidRPr="009C1E9A" w:rsidRDefault="0046587C" w:rsidP="00907F28">
            <w:pPr>
              <w:rPr>
                <w:b/>
                <w:u w:val="single"/>
              </w:rPr>
            </w:pPr>
          </w:p>
        </w:tc>
      </w:tr>
      <w:tr w:rsidR="003F0ACF" w14:paraId="1F088256" w14:textId="77777777" w:rsidTr="00345119">
        <w:tc>
          <w:tcPr>
            <w:tcW w:w="9576" w:type="dxa"/>
          </w:tcPr>
          <w:p w14:paraId="72AAD70A" w14:textId="77777777" w:rsidR="0046587C" w:rsidRPr="0046587C" w:rsidRDefault="0046587C" w:rsidP="00907F28">
            <w:pPr>
              <w:jc w:val="both"/>
            </w:pPr>
          </w:p>
        </w:tc>
      </w:tr>
    </w:tbl>
    <w:p w14:paraId="7D9A8BEF" w14:textId="77777777" w:rsidR="008423E4" w:rsidRPr="00BE0E75" w:rsidRDefault="008423E4" w:rsidP="00907F28">
      <w:pPr>
        <w:jc w:val="both"/>
        <w:rPr>
          <w:rFonts w:ascii="Arial" w:hAnsi="Arial"/>
          <w:sz w:val="16"/>
          <w:szCs w:val="16"/>
        </w:rPr>
      </w:pPr>
    </w:p>
    <w:p w14:paraId="2CF748D6" w14:textId="77777777" w:rsidR="004108C3" w:rsidRPr="008423E4" w:rsidRDefault="004108C3" w:rsidP="00907F2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C1B9" w14:textId="77777777" w:rsidR="00000000" w:rsidRDefault="007C117B">
      <w:r>
        <w:separator/>
      </w:r>
    </w:p>
  </w:endnote>
  <w:endnote w:type="continuationSeparator" w:id="0">
    <w:p w14:paraId="0F4CF6DD" w14:textId="77777777" w:rsidR="00000000" w:rsidRDefault="007C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7E6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F0ACF" w14:paraId="160FE5B7" w14:textId="77777777" w:rsidTr="009C1E9A">
      <w:trPr>
        <w:cantSplit/>
      </w:trPr>
      <w:tc>
        <w:tcPr>
          <w:tcW w:w="0" w:type="pct"/>
        </w:tcPr>
        <w:p w14:paraId="515A97E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B8212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7FCFDC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F9FC98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0040A6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F0ACF" w14:paraId="59BF8C25" w14:textId="77777777" w:rsidTr="009C1E9A">
      <w:trPr>
        <w:cantSplit/>
      </w:trPr>
      <w:tc>
        <w:tcPr>
          <w:tcW w:w="0" w:type="pct"/>
        </w:tcPr>
        <w:p w14:paraId="7AEC5E3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8E761C9" w14:textId="77BA1350" w:rsidR="00EC379B" w:rsidRPr="009C1E9A" w:rsidRDefault="007C117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22980-D</w:t>
          </w:r>
        </w:p>
      </w:tc>
      <w:tc>
        <w:tcPr>
          <w:tcW w:w="2453" w:type="pct"/>
        </w:tcPr>
        <w:p w14:paraId="3F9F34F6" w14:textId="510024CD" w:rsidR="00EC379B" w:rsidRDefault="007C117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F0857">
            <w:t>23.107.647</w:t>
          </w:r>
          <w:r>
            <w:fldChar w:fldCharType="end"/>
          </w:r>
        </w:p>
      </w:tc>
    </w:tr>
    <w:tr w:rsidR="003F0ACF" w14:paraId="44751FE1" w14:textId="77777777" w:rsidTr="009C1E9A">
      <w:trPr>
        <w:cantSplit/>
      </w:trPr>
      <w:tc>
        <w:tcPr>
          <w:tcW w:w="0" w:type="pct"/>
        </w:tcPr>
        <w:p w14:paraId="24704BE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31D6678" w14:textId="24E575DC" w:rsidR="00EC379B" w:rsidRPr="009C1E9A" w:rsidRDefault="007C117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19469</w:t>
          </w:r>
        </w:p>
      </w:tc>
      <w:tc>
        <w:tcPr>
          <w:tcW w:w="2453" w:type="pct"/>
        </w:tcPr>
        <w:p w14:paraId="19F0B2E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20B3EC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F0ACF" w14:paraId="3E80D9A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C54D9AC" w14:textId="77777777" w:rsidR="00EC379B" w:rsidRDefault="007C117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E2F7AA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02A504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A25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8C60" w14:textId="77777777" w:rsidR="00000000" w:rsidRDefault="007C117B">
      <w:r>
        <w:separator/>
      </w:r>
    </w:p>
  </w:footnote>
  <w:footnote w:type="continuationSeparator" w:id="0">
    <w:p w14:paraId="6B3080FF" w14:textId="77777777" w:rsidR="00000000" w:rsidRDefault="007C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2E9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F18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37B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D72B4"/>
    <w:multiLevelType w:val="hybridMultilevel"/>
    <w:tmpl w:val="785CD814"/>
    <w:lvl w:ilvl="0" w:tplc="5F3A9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A6F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34FF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62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A5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D03E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CB8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A95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EA3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19F2"/>
    <w:multiLevelType w:val="hybridMultilevel"/>
    <w:tmpl w:val="25C42564"/>
    <w:lvl w:ilvl="0" w:tplc="2C52B990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5D3E9F8C" w:tentative="1">
      <w:start w:val="1"/>
      <w:numFmt w:val="lowerLetter"/>
      <w:lvlText w:val="%2."/>
      <w:lvlJc w:val="left"/>
      <w:pPr>
        <w:ind w:left="1440" w:hanging="360"/>
      </w:pPr>
    </w:lvl>
    <w:lvl w:ilvl="2" w:tplc="52084FCA" w:tentative="1">
      <w:start w:val="1"/>
      <w:numFmt w:val="lowerRoman"/>
      <w:lvlText w:val="%3."/>
      <w:lvlJc w:val="right"/>
      <w:pPr>
        <w:ind w:left="2160" w:hanging="180"/>
      </w:pPr>
    </w:lvl>
    <w:lvl w:ilvl="3" w:tplc="6876EF76" w:tentative="1">
      <w:start w:val="1"/>
      <w:numFmt w:val="decimal"/>
      <w:lvlText w:val="%4."/>
      <w:lvlJc w:val="left"/>
      <w:pPr>
        <w:ind w:left="2880" w:hanging="360"/>
      </w:pPr>
    </w:lvl>
    <w:lvl w:ilvl="4" w:tplc="3EAA5D1C" w:tentative="1">
      <w:start w:val="1"/>
      <w:numFmt w:val="lowerLetter"/>
      <w:lvlText w:val="%5."/>
      <w:lvlJc w:val="left"/>
      <w:pPr>
        <w:ind w:left="3600" w:hanging="360"/>
      </w:pPr>
    </w:lvl>
    <w:lvl w:ilvl="5" w:tplc="72164C52" w:tentative="1">
      <w:start w:val="1"/>
      <w:numFmt w:val="lowerRoman"/>
      <w:lvlText w:val="%6."/>
      <w:lvlJc w:val="right"/>
      <w:pPr>
        <w:ind w:left="4320" w:hanging="180"/>
      </w:pPr>
    </w:lvl>
    <w:lvl w:ilvl="6" w:tplc="52D2A208" w:tentative="1">
      <w:start w:val="1"/>
      <w:numFmt w:val="decimal"/>
      <w:lvlText w:val="%7."/>
      <w:lvlJc w:val="left"/>
      <w:pPr>
        <w:ind w:left="5040" w:hanging="360"/>
      </w:pPr>
    </w:lvl>
    <w:lvl w:ilvl="7" w:tplc="95B4AC5A" w:tentative="1">
      <w:start w:val="1"/>
      <w:numFmt w:val="lowerLetter"/>
      <w:lvlText w:val="%8."/>
      <w:lvlJc w:val="left"/>
      <w:pPr>
        <w:ind w:left="5760" w:hanging="360"/>
      </w:pPr>
    </w:lvl>
    <w:lvl w:ilvl="8" w:tplc="A2B47C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E6B"/>
    <w:multiLevelType w:val="hybridMultilevel"/>
    <w:tmpl w:val="27D6A8E0"/>
    <w:lvl w:ilvl="0" w:tplc="EBBC0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383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CC7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656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A5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6454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E1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22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5AE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D5C94"/>
    <w:multiLevelType w:val="hybridMultilevel"/>
    <w:tmpl w:val="4C1076AC"/>
    <w:lvl w:ilvl="0" w:tplc="F9B2BC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D869A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29B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A8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AC5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3C9A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87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8F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8248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33CDE"/>
    <w:multiLevelType w:val="hybridMultilevel"/>
    <w:tmpl w:val="8F46EBF0"/>
    <w:lvl w:ilvl="0" w:tplc="11427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22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58FC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A2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4CA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625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237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41F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E03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537C"/>
    <w:multiLevelType w:val="hybridMultilevel"/>
    <w:tmpl w:val="ED94D368"/>
    <w:lvl w:ilvl="0" w:tplc="3672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98B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8669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8F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41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22BB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4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4A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C3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F6404"/>
    <w:multiLevelType w:val="hybridMultilevel"/>
    <w:tmpl w:val="73BA4388"/>
    <w:lvl w:ilvl="0" w:tplc="A3F6C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E67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0D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C2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6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32EF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04F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2FE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584C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7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C6B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BE1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0FB9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A7C42"/>
    <w:rsid w:val="000B0F30"/>
    <w:rsid w:val="000B1486"/>
    <w:rsid w:val="000B1CC8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6A03"/>
    <w:rsid w:val="00127893"/>
    <w:rsid w:val="001312BB"/>
    <w:rsid w:val="00137D90"/>
    <w:rsid w:val="00141EFA"/>
    <w:rsid w:val="00141FB6"/>
    <w:rsid w:val="00142F8E"/>
    <w:rsid w:val="00143C8B"/>
    <w:rsid w:val="00145F85"/>
    <w:rsid w:val="00147530"/>
    <w:rsid w:val="0015206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0385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0CF"/>
    <w:rsid w:val="001E2CAD"/>
    <w:rsid w:val="001E3405"/>
    <w:rsid w:val="001E34DB"/>
    <w:rsid w:val="001E37CD"/>
    <w:rsid w:val="001E4070"/>
    <w:rsid w:val="001E655E"/>
    <w:rsid w:val="001F3A93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3F00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1747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AE8"/>
    <w:rsid w:val="002C1C17"/>
    <w:rsid w:val="002C3203"/>
    <w:rsid w:val="002C3B07"/>
    <w:rsid w:val="002C532B"/>
    <w:rsid w:val="002C5496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6AB6"/>
    <w:rsid w:val="0031741B"/>
    <w:rsid w:val="00317684"/>
    <w:rsid w:val="00321337"/>
    <w:rsid w:val="00321F2F"/>
    <w:rsid w:val="003237F6"/>
    <w:rsid w:val="00324077"/>
    <w:rsid w:val="0032453B"/>
    <w:rsid w:val="00324868"/>
    <w:rsid w:val="003305F5"/>
    <w:rsid w:val="00333930"/>
    <w:rsid w:val="0033692F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3E25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09E0"/>
    <w:rsid w:val="003709E7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3B7C"/>
    <w:rsid w:val="003D726D"/>
    <w:rsid w:val="003E0875"/>
    <w:rsid w:val="003E0BB8"/>
    <w:rsid w:val="003E2D6E"/>
    <w:rsid w:val="003E6CB0"/>
    <w:rsid w:val="003F0ACF"/>
    <w:rsid w:val="003F0F43"/>
    <w:rsid w:val="003F1F5E"/>
    <w:rsid w:val="003F286A"/>
    <w:rsid w:val="003F3B72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6C3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2777"/>
    <w:rsid w:val="004350F3"/>
    <w:rsid w:val="00436980"/>
    <w:rsid w:val="00441016"/>
    <w:rsid w:val="00441F2F"/>
    <w:rsid w:val="0044228B"/>
    <w:rsid w:val="004455AD"/>
    <w:rsid w:val="00447018"/>
    <w:rsid w:val="00450561"/>
    <w:rsid w:val="004506D0"/>
    <w:rsid w:val="00450A40"/>
    <w:rsid w:val="00451D7C"/>
    <w:rsid w:val="00452FC3"/>
    <w:rsid w:val="00454715"/>
    <w:rsid w:val="00455936"/>
    <w:rsid w:val="00455ACE"/>
    <w:rsid w:val="00461B69"/>
    <w:rsid w:val="00462B3D"/>
    <w:rsid w:val="0046587C"/>
    <w:rsid w:val="00474927"/>
    <w:rsid w:val="00475913"/>
    <w:rsid w:val="00480080"/>
    <w:rsid w:val="004824A7"/>
    <w:rsid w:val="00483AF0"/>
    <w:rsid w:val="00484167"/>
    <w:rsid w:val="00486AAA"/>
    <w:rsid w:val="004921B4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B77C3"/>
    <w:rsid w:val="004C0EB2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0AAC"/>
    <w:rsid w:val="0051324D"/>
    <w:rsid w:val="00515466"/>
    <w:rsid w:val="005154F7"/>
    <w:rsid w:val="005159DE"/>
    <w:rsid w:val="00516316"/>
    <w:rsid w:val="005269CE"/>
    <w:rsid w:val="005304B2"/>
    <w:rsid w:val="005336BD"/>
    <w:rsid w:val="00534A49"/>
    <w:rsid w:val="0053513D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047A"/>
    <w:rsid w:val="00590A9E"/>
    <w:rsid w:val="00592C9A"/>
    <w:rsid w:val="00593353"/>
    <w:rsid w:val="00593DF8"/>
    <w:rsid w:val="00595745"/>
    <w:rsid w:val="005A0E18"/>
    <w:rsid w:val="005A12A5"/>
    <w:rsid w:val="005A1934"/>
    <w:rsid w:val="005A3790"/>
    <w:rsid w:val="005A3CCB"/>
    <w:rsid w:val="005A6D13"/>
    <w:rsid w:val="005B031F"/>
    <w:rsid w:val="005B3298"/>
    <w:rsid w:val="005B3C13"/>
    <w:rsid w:val="005B5516"/>
    <w:rsid w:val="005B5D2B"/>
    <w:rsid w:val="005C05D6"/>
    <w:rsid w:val="005C1496"/>
    <w:rsid w:val="005C17C5"/>
    <w:rsid w:val="005C2B21"/>
    <w:rsid w:val="005C2C00"/>
    <w:rsid w:val="005C2E1F"/>
    <w:rsid w:val="005C4C6F"/>
    <w:rsid w:val="005C5127"/>
    <w:rsid w:val="005C7CCB"/>
    <w:rsid w:val="005D1444"/>
    <w:rsid w:val="005D4DAE"/>
    <w:rsid w:val="005D5798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857"/>
    <w:rsid w:val="005F1519"/>
    <w:rsid w:val="005F3CBA"/>
    <w:rsid w:val="005F4862"/>
    <w:rsid w:val="005F5679"/>
    <w:rsid w:val="005F5FDF"/>
    <w:rsid w:val="005F6960"/>
    <w:rsid w:val="005F7000"/>
    <w:rsid w:val="005F7AAA"/>
    <w:rsid w:val="00600BAA"/>
    <w:rsid w:val="006012DA"/>
    <w:rsid w:val="006036C5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35A6"/>
    <w:rsid w:val="00636F5B"/>
    <w:rsid w:val="006402E7"/>
    <w:rsid w:val="00640CB6"/>
    <w:rsid w:val="00641B42"/>
    <w:rsid w:val="0064468C"/>
    <w:rsid w:val="00645750"/>
    <w:rsid w:val="00650692"/>
    <w:rsid w:val="006508D3"/>
    <w:rsid w:val="00650AFA"/>
    <w:rsid w:val="006510B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45E2"/>
    <w:rsid w:val="006A6068"/>
    <w:rsid w:val="006B129D"/>
    <w:rsid w:val="006B12AE"/>
    <w:rsid w:val="006B16B3"/>
    <w:rsid w:val="006B1918"/>
    <w:rsid w:val="006B233E"/>
    <w:rsid w:val="006B23D8"/>
    <w:rsid w:val="006B244C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100F"/>
    <w:rsid w:val="007031BD"/>
    <w:rsid w:val="00703AF2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D5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BBF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5E6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7B7"/>
    <w:rsid w:val="007B38D9"/>
    <w:rsid w:val="007B4FCA"/>
    <w:rsid w:val="007B7B85"/>
    <w:rsid w:val="007C117B"/>
    <w:rsid w:val="007C462E"/>
    <w:rsid w:val="007C496B"/>
    <w:rsid w:val="007C6803"/>
    <w:rsid w:val="007D2892"/>
    <w:rsid w:val="007D2DCC"/>
    <w:rsid w:val="007D47E1"/>
    <w:rsid w:val="007D6A2D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79A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2140"/>
    <w:rsid w:val="008930D7"/>
    <w:rsid w:val="008947A7"/>
    <w:rsid w:val="00897E80"/>
    <w:rsid w:val="008A04FA"/>
    <w:rsid w:val="008A27BB"/>
    <w:rsid w:val="008A3188"/>
    <w:rsid w:val="008A3FDF"/>
    <w:rsid w:val="008A6418"/>
    <w:rsid w:val="008B05D8"/>
    <w:rsid w:val="008B0B3D"/>
    <w:rsid w:val="008B2B1A"/>
    <w:rsid w:val="008B3428"/>
    <w:rsid w:val="008B4A91"/>
    <w:rsid w:val="008B6776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5D1F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1F47"/>
    <w:rsid w:val="00902212"/>
    <w:rsid w:val="00903E0A"/>
    <w:rsid w:val="00904721"/>
    <w:rsid w:val="00907780"/>
    <w:rsid w:val="00907EDD"/>
    <w:rsid w:val="00907F28"/>
    <w:rsid w:val="009107AD"/>
    <w:rsid w:val="00915460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24F4"/>
    <w:rsid w:val="00946044"/>
    <w:rsid w:val="009464FC"/>
    <w:rsid w:val="0094653B"/>
    <w:rsid w:val="009465AB"/>
    <w:rsid w:val="00946DEE"/>
    <w:rsid w:val="00953499"/>
    <w:rsid w:val="00954A16"/>
    <w:rsid w:val="00955C93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0CAE"/>
    <w:rsid w:val="0098170E"/>
    <w:rsid w:val="0098285C"/>
    <w:rsid w:val="00983B56"/>
    <w:rsid w:val="009847FD"/>
    <w:rsid w:val="009851B3"/>
    <w:rsid w:val="00985300"/>
    <w:rsid w:val="00985592"/>
    <w:rsid w:val="00986720"/>
    <w:rsid w:val="00987F00"/>
    <w:rsid w:val="0099403D"/>
    <w:rsid w:val="00995B0B"/>
    <w:rsid w:val="009A1883"/>
    <w:rsid w:val="009A35A9"/>
    <w:rsid w:val="009A39F5"/>
    <w:rsid w:val="009A4588"/>
    <w:rsid w:val="009A52E2"/>
    <w:rsid w:val="009A5EA5"/>
    <w:rsid w:val="009A74D2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719A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5C"/>
    <w:rsid w:val="00A02D81"/>
    <w:rsid w:val="00A03F54"/>
    <w:rsid w:val="00A0432D"/>
    <w:rsid w:val="00A07689"/>
    <w:rsid w:val="00A07906"/>
    <w:rsid w:val="00A10723"/>
    <w:rsid w:val="00A10908"/>
    <w:rsid w:val="00A12330"/>
    <w:rsid w:val="00A1259F"/>
    <w:rsid w:val="00A1446F"/>
    <w:rsid w:val="00A151B5"/>
    <w:rsid w:val="00A220FF"/>
    <w:rsid w:val="00A227E0"/>
    <w:rsid w:val="00A231C1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5783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3FF"/>
    <w:rsid w:val="00AA18AE"/>
    <w:rsid w:val="00AA228B"/>
    <w:rsid w:val="00AA597A"/>
    <w:rsid w:val="00AA66AD"/>
    <w:rsid w:val="00AA67A3"/>
    <w:rsid w:val="00AA7E52"/>
    <w:rsid w:val="00AB14F8"/>
    <w:rsid w:val="00AB1655"/>
    <w:rsid w:val="00AB1873"/>
    <w:rsid w:val="00AB2C05"/>
    <w:rsid w:val="00AB3536"/>
    <w:rsid w:val="00AB474B"/>
    <w:rsid w:val="00AB4C89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3A8F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292"/>
    <w:rsid w:val="00B26437"/>
    <w:rsid w:val="00B2678E"/>
    <w:rsid w:val="00B30647"/>
    <w:rsid w:val="00B31F0E"/>
    <w:rsid w:val="00B34F25"/>
    <w:rsid w:val="00B40B87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E29"/>
    <w:rsid w:val="00B7591E"/>
    <w:rsid w:val="00B77AD9"/>
    <w:rsid w:val="00B80532"/>
    <w:rsid w:val="00B80E12"/>
    <w:rsid w:val="00B82039"/>
    <w:rsid w:val="00B82454"/>
    <w:rsid w:val="00B90097"/>
    <w:rsid w:val="00B90999"/>
    <w:rsid w:val="00B91AD7"/>
    <w:rsid w:val="00B92D23"/>
    <w:rsid w:val="00B95BC8"/>
    <w:rsid w:val="00B96E87"/>
    <w:rsid w:val="00B96FC9"/>
    <w:rsid w:val="00BA13B0"/>
    <w:rsid w:val="00BA146A"/>
    <w:rsid w:val="00BA32EE"/>
    <w:rsid w:val="00BB0965"/>
    <w:rsid w:val="00BB5B36"/>
    <w:rsid w:val="00BB6463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70CD"/>
    <w:rsid w:val="00BE00CD"/>
    <w:rsid w:val="00BE0E75"/>
    <w:rsid w:val="00BE1789"/>
    <w:rsid w:val="00BE3634"/>
    <w:rsid w:val="00BE3E30"/>
    <w:rsid w:val="00BE44B1"/>
    <w:rsid w:val="00BE5274"/>
    <w:rsid w:val="00BE71CD"/>
    <w:rsid w:val="00BE7748"/>
    <w:rsid w:val="00BE7BDA"/>
    <w:rsid w:val="00BF0548"/>
    <w:rsid w:val="00BF4949"/>
    <w:rsid w:val="00BF4D7C"/>
    <w:rsid w:val="00BF5085"/>
    <w:rsid w:val="00C0042D"/>
    <w:rsid w:val="00C013F4"/>
    <w:rsid w:val="00C040AB"/>
    <w:rsid w:val="00C0499B"/>
    <w:rsid w:val="00C05406"/>
    <w:rsid w:val="00C05CF0"/>
    <w:rsid w:val="00C119AC"/>
    <w:rsid w:val="00C14651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2167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2B37"/>
    <w:rsid w:val="00C834CE"/>
    <w:rsid w:val="00C9047F"/>
    <w:rsid w:val="00C91F65"/>
    <w:rsid w:val="00C92310"/>
    <w:rsid w:val="00C93AA7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3803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F24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4665"/>
    <w:rsid w:val="00D26AD5"/>
    <w:rsid w:val="00D30534"/>
    <w:rsid w:val="00D35728"/>
    <w:rsid w:val="00D359A7"/>
    <w:rsid w:val="00D37BCF"/>
    <w:rsid w:val="00D40F93"/>
    <w:rsid w:val="00D415FA"/>
    <w:rsid w:val="00D42277"/>
    <w:rsid w:val="00D43C59"/>
    <w:rsid w:val="00D44ADE"/>
    <w:rsid w:val="00D4763C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961"/>
    <w:rsid w:val="00D63B53"/>
    <w:rsid w:val="00D64B88"/>
    <w:rsid w:val="00D64DC5"/>
    <w:rsid w:val="00D66BA6"/>
    <w:rsid w:val="00D67B2F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6CE5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25F5"/>
    <w:rsid w:val="00DE33FC"/>
    <w:rsid w:val="00DE34B2"/>
    <w:rsid w:val="00DE49DE"/>
    <w:rsid w:val="00DE5AD4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499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247"/>
    <w:rsid w:val="00E55DA0"/>
    <w:rsid w:val="00E56033"/>
    <w:rsid w:val="00E57309"/>
    <w:rsid w:val="00E61159"/>
    <w:rsid w:val="00E625DA"/>
    <w:rsid w:val="00E634DC"/>
    <w:rsid w:val="00E648D8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7011"/>
    <w:rsid w:val="00EA16AC"/>
    <w:rsid w:val="00EA385A"/>
    <w:rsid w:val="00EA3931"/>
    <w:rsid w:val="00EA658E"/>
    <w:rsid w:val="00EA7A88"/>
    <w:rsid w:val="00EB27F2"/>
    <w:rsid w:val="00EB3928"/>
    <w:rsid w:val="00EB5373"/>
    <w:rsid w:val="00EB723E"/>
    <w:rsid w:val="00EC02A2"/>
    <w:rsid w:val="00EC379B"/>
    <w:rsid w:val="00EC37DF"/>
    <w:rsid w:val="00EC3A99"/>
    <w:rsid w:val="00EC3B2E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607"/>
    <w:rsid w:val="00EF1738"/>
    <w:rsid w:val="00EF2BAF"/>
    <w:rsid w:val="00EF3B8F"/>
    <w:rsid w:val="00EF543E"/>
    <w:rsid w:val="00EF559F"/>
    <w:rsid w:val="00EF5771"/>
    <w:rsid w:val="00EF5AA2"/>
    <w:rsid w:val="00EF7E26"/>
    <w:rsid w:val="00F01DFA"/>
    <w:rsid w:val="00F02096"/>
    <w:rsid w:val="00F02457"/>
    <w:rsid w:val="00F02EE8"/>
    <w:rsid w:val="00F036C3"/>
    <w:rsid w:val="00F04029"/>
    <w:rsid w:val="00F0417E"/>
    <w:rsid w:val="00F05397"/>
    <w:rsid w:val="00F0638C"/>
    <w:rsid w:val="00F11E04"/>
    <w:rsid w:val="00F12B24"/>
    <w:rsid w:val="00F12BC7"/>
    <w:rsid w:val="00F15223"/>
    <w:rsid w:val="00F15AE7"/>
    <w:rsid w:val="00F164B4"/>
    <w:rsid w:val="00F176E4"/>
    <w:rsid w:val="00F20E5F"/>
    <w:rsid w:val="00F25C26"/>
    <w:rsid w:val="00F25CC2"/>
    <w:rsid w:val="00F25F3D"/>
    <w:rsid w:val="00F27573"/>
    <w:rsid w:val="00F307B6"/>
    <w:rsid w:val="00F30EB8"/>
    <w:rsid w:val="00F31876"/>
    <w:rsid w:val="00F31C30"/>
    <w:rsid w:val="00F31C67"/>
    <w:rsid w:val="00F36FE0"/>
    <w:rsid w:val="00F37EA8"/>
    <w:rsid w:val="00F40B14"/>
    <w:rsid w:val="00F41186"/>
    <w:rsid w:val="00F41E28"/>
    <w:rsid w:val="00F41EEF"/>
    <w:rsid w:val="00F41FAC"/>
    <w:rsid w:val="00F420C6"/>
    <w:rsid w:val="00F423D3"/>
    <w:rsid w:val="00F44349"/>
    <w:rsid w:val="00F4462E"/>
    <w:rsid w:val="00F4569E"/>
    <w:rsid w:val="00F45AFC"/>
    <w:rsid w:val="00F462F4"/>
    <w:rsid w:val="00F47DB2"/>
    <w:rsid w:val="00F50130"/>
    <w:rsid w:val="00F512D9"/>
    <w:rsid w:val="00F52402"/>
    <w:rsid w:val="00F534F0"/>
    <w:rsid w:val="00F5480F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7C0C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7D2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B44283-CDA5-46CB-BC1C-F22158D6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F0F4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0F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0F4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0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F43"/>
    <w:rPr>
      <w:b/>
      <w:bCs/>
    </w:rPr>
  </w:style>
  <w:style w:type="paragraph" w:styleId="Revision">
    <w:name w:val="Revision"/>
    <w:hidden/>
    <w:uiPriority w:val="99"/>
    <w:semiHidden/>
    <w:rsid w:val="00D639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D3B7C"/>
    <w:pPr>
      <w:ind w:left="720"/>
      <w:contextualSpacing/>
    </w:pPr>
  </w:style>
  <w:style w:type="character" w:styleId="Hyperlink">
    <w:name w:val="Hyperlink"/>
    <w:basedOn w:val="DefaultParagraphFont"/>
    <w:unhideWhenUsed/>
    <w:rsid w:val="000A7C4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7C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973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1801</Words>
  <Characters>9866</Characters>
  <Application>Microsoft Office Word</Application>
  <DocSecurity>4</DocSecurity>
  <Lines>197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HB01535 (Committee Report (Substituted))</vt:lpstr>
    </vt:vector>
  </TitlesOfParts>
  <Company>State of Texas</Company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22980</dc:subject>
  <dc:creator>State of Texas</dc:creator>
  <dc:description>HB 1535 by Clardy-(H)Natural Resources (Substitute Document Number: 88R 19469)</dc:description>
  <cp:lastModifiedBy>Matthew Lee</cp:lastModifiedBy>
  <cp:revision>2</cp:revision>
  <cp:lastPrinted>2003-11-26T17:21:00Z</cp:lastPrinted>
  <dcterms:created xsi:type="dcterms:W3CDTF">2023-04-18T22:36:00Z</dcterms:created>
  <dcterms:modified xsi:type="dcterms:W3CDTF">2023-04-18T22:36:00Z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23.107.647</vt:lpwstr>
  </property>
</Properties>
</file>