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F6BBC" w14:paraId="78D2DEAD" w14:textId="77777777" w:rsidTr="00345119">
        <w:tc>
          <w:tcPr>
            <w:tcW w:w="9576" w:type="dxa"/>
            <w:noWrap/>
          </w:tcPr>
          <w:p w14:paraId="4407C30F" w14:textId="77777777" w:rsidR="008423E4" w:rsidRPr="0022177D" w:rsidRDefault="00B05203" w:rsidP="00C05B29">
            <w:pPr>
              <w:pStyle w:val="Heading1"/>
            </w:pPr>
            <w:r w:rsidRPr="00631897">
              <w:t>BILL ANALYSIS</w:t>
            </w:r>
          </w:p>
        </w:tc>
      </w:tr>
    </w:tbl>
    <w:p w14:paraId="4CB596F2" w14:textId="77777777" w:rsidR="008423E4" w:rsidRPr="0022177D" w:rsidRDefault="008423E4" w:rsidP="00C05B29">
      <w:pPr>
        <w:jc w:val="center"/>
      </w:pPr>
    </w:p>
    <w:p w14:paraId="6D6CA4BE" w14:textId="77777777" w:rsidR="008423E4" w:rsidRPr="00B31F0E" w:rsidRDefault="008423E4" w:rsidP="00C05B29"/>
    <w:p w14:paraId="7BF8FD43" w14:textId="77777777" w:rsidR="008423E4" w:rsidRPr="00742794" w:rsidRDefault="008423E4" w:rsidP="00C05B2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F6BBC" w14:paraId="4AD96685" w14:textId="77777777" w:rsidTr="00345119">
        <w:tc>
          <w:tcPr>
            <w:tcW w:w="9576" w:type="dxa"/>
          </w:tcPr>
          <w:p w14:paraId="1A18F771" w14:textId="46839368" w:rsidR="008423E4" w:rsidRPr="00861995" w:rsidRDefault="00B05203" w:rsidP="00C05B29">
            <w:pPr>
              <w:jc w:val="right"/>
            </w:pPr>
            <w:r>
              <w:t>C.S.H.B. 1563</w:t>
            </w:r>
          </w:p>
        </w:tc>
      </w:tr>
      <w:tr w:rsidR="00AF6BBC" w14:paraId="304649C0" w14:textId="77777777" w:rsidTr="00345119">
        <w:tc>
          <w:tcPr>
            <w:tcW w:w="9576" w:type="dxa"/>
          </w:tcPr>
          <w:p w14:paraId="113EC633" w14:textId="767C0506" w:rsidR="008423E4" w:rsidRPr="00861995" w:rsidRDefault="00B05203" w:rsidP="00C05B29">
            <w:pPr>
              <w:jc w:val="right"/>
            </w:pPr>
            <w:r>
              <w:t xml:space="preserve">By: </w:t>
            </w:r>
            <w:r w:rsidR="002530EF">
              <w:t>Harless</w:t>
            </w:r>
          </w:p>
        </w:tc>
      </w:tr>
      <w:tr w:rsidR="00AF6BBC" w14:paraId="682FEF31" w14:textId="77777777" w:rsidTr="00345119">
        <w:tc>
          <w:tcPr>
            <w:tcW w:w="9576" w:type="dxa"/>
          </w:tcPr>
          <w:p w14:paraId="13881F92" w14:textId="465847BF" w:rsidR="008423E4" w:rsidRPr="00861995" w:rsidRDefault="00B05203" w:rsidP="00C05B29">
            <w:pPr>
              <w:jc w:val="right"/>
            </w:pPr>
            <w:r>
              <w:t>Corrections</w:t>
            </w:r>
          </w:p>
        </w:tc>
      </w:tr>
      <w:tr w:rsidR="00AF6BBC" w14:paraId="73E7ECF6" w14:textId="77777777" w:rsidTr="00345119">
        <w:tc>
          <w:tcPr>
            <w:tcW w:w="9576" w:type="dxa"/>
          </w:tcPr>
          <w:p w14:paraId="11F80BC3" w14:textId="40D4D911" w:rsidR="008423E4" w:rsidRDefault="00B05203" w:rsidP="00C05B29">
            <w:pPr>
              <w:jc w:val="right"/>
            </w:pPr>
            <w:r>
              <w:t>Committee Report (Substituted)</w:t>
            </w:r>
          </w:p>
        </w:tc>
      </w:tr>
    </w:tbl>
    <w:p w14:paraId="237A9141" w14:textId="77777777" w:rsidR="008423E4" w:rsidRDefault="008423E4" w:rsidP="00C05B29">
      <w:pPr>
        <w:tabs>
          <w:tab w:val="right" w:pos="9360"/>
        </w:tabs>
      </w:pPr>
    </w:p>
    <w:p w14:paraId="30233611" w14:textId="77777777" w:rsidR="008423E4" w:rsidRDefault="008423E4" w:rsidP="00C05B29"/>
    <w:p w14:paraId="51DE00A4" w14:textId="77777777" w:rsidR="008423E4" w:rsidRDefault="008423E4" w:rsidP="00C05B2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F6BBC" w14:paraId="3796D9EB" w14:textId="77777777" w:rsidTr="00345119">
        <w:tc>
          <w:tcPr>
            <w:tcW w:w="9576" w:type="dxa"/>
          </w:tcPr>
          <w:p w14:paraId="4CCB84F2" w14:textId="77777777" w:rsidR="008423E4" w:rsidRPr="00A8133F" w:rsidRDefault="00B05203" w:rsidP="00C05B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B80AEF" w14:textId="77777777" w:rsidR="008423E4" w:rsidRDefault="008423E4" w:rsidP="00C05B29"/>
          <w:p w14:paraId="4D88568E" w14:textId="4DA446BD" w:rsidR="008423E4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County </w:t>
            </w:r>
            <w:r w:rsidR="00886197">
              <w:t>j</w:t>
            </w:r>
            <w:r>
              <w:t xml:space="preserve">ails across </w:t>
            </w:r>
            <w:r w:rsidR="00886197">
              <w:t xml:space="preserve">Texas </w:t>
            </w:r>
            <w:r>
              <w:t>over the years have seen varying response</w:t>
            </w:r>
            <w:r w:rsidR="00886197">
              <w:t xml:space="preserve"> times</w:t>
            </w:r>
            <w:r>
              <w:t xml:space="preserve"> </w:t>
            </w:r>
            <w:r w:rsidR="00886197">
              <w:t xml:space="preserve">by </w:t>
            </w:r>
            <w:r>
              <w:t xml:space="preserve">the </w:t>
            </w:r>
            <w:r w:rsidR="00886197">
              <w:t xml:space="preserve">Texas </w:t>
            </w:r>
            <w:r>
              <w:t xml:space="preserve">Department of Criminal Justice </w:t>
            </w:r>
            <w:r w:rsidR="00886197">
              <w:t xml:space="preserve">(TDCJ) in </w:t>
            </w:r>
            <w:r>
              <w:t>accepting prisoners. When a person has a final disposition rendered in a criminal case, the county prepares a "</w:t>
            </w:r>
            <w:r w:rsidR="00886197">
              <w:t>p</w:t>
            </w:r>
            <w:r>
              <w:t xml:space="preserve">en </w:t>
            </w:r>
            <w:r w:rsidR="00886197">
              <w:t>p</w:t>
            </w:r>
            <w:r>
              <w:t xml:space="preserve">acket" </w:t>
            </w:r>
            <w:r w:rsidR="00886197">
              <w:t>containing certain documents required by state law, which</w:t>
            </w:r>
            <w:r>
              <w:t xml:space="preserve"> is then reviewed by TDCJ. In </w:t>
            </w:r>
            <w:r w:rsidR="00886197">
              <w:t xml:space="preserve">many </w:t>
            </w:r>
            <w:r>
              <w:t xml:space="preserve">cases, the person is held at the county jail, </w:t>
            </w:r>
            <w:r w:rsidR="00923EDA">
              <w:t xml:space="preserve">which </w:t>
            </w:r>
            <w:r>
              <w:t>plac</w:t>
            </w:r>
            <w:r w:rsidR="00923EDA">
              <w:t>es</w:t>
            </w:r>
            <w:r>
              <w:t xml:space="preserve"> the financial burden on the county taxpayer and can </w:t>
            </w:r>
            <w:r w:rsidR="00886197">
              <w:t xml:space="preserve">lead to </w:t>
            </w:r>
            <w:r>
              <w:t>overcrowd</w:t>
            </w:r>
            <w:r w:rsidR="00886197">
              <w:t>ed jails</w:t>
            </w:r>
            <w:r>
              <w:t xml:space="preserve">. </w:t>
            </w:r>
            <w:r w:rsidR="00886197">
              <w:t xml:space="preserve">C.S.H.B. 1563 seeks to address these issues by requiring TDCJ to </w:t>
            </w:r>
            <w:r w:rsidR="0039223A">
              <w:t>take custody within 45 days of the date a person's pen packet documents are received and certified and by providing for reimbursement to county jails at TDCJ</w:t>
            </w:r>
            <w:r w:rsidR="005F7C73">
              <w:t>'s</w:t>
            </w:r>
            <w:r w:rsidR="0039223A">
              <w:t xml:space="preserve"> expense if TDCJ does not take custody of a person</w:t>
            </w:r>
            <w:r w:rsidR="005F7C73">
              <w:t xml:space="preserve"> following the expiration of that period</w:t>
            </w:r>
            <w:r w:rsidR="0039223A">
              <w:t xml:space="preserve">. </w:t>
            </w:r>
          </w:p>
          <w:p w14:paraId="026D565D" w14:textId="77777777" w:rsidR="008423E4" w:rsidRPr="00E26B13" w:rsidRDefault="008423E4" w:rsidP="00C05B29">
            <w:pPr>
              <w:rPr>
                <w:b/>
              </w:rPr>
            </w:pPr>
          </w:p>
        </w:tc>
      </w:tr>
      <w:tr w:rsidR="00AF6BBC" w14:paraId="7D604572" w14:textId="77777777" w:rsidTr="00345119">
        <w:tc>
          <w:tcPr>
            <w:tcW w:w="9576" w:type="dxa"/>
          </w:tcPr>
          <w:p w14:paraId="3132E5B0" w14:textId="77777777" w:rsidR="0017725B" w:rsidRDefault="00B05203" w:rsidP="00C05B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A26F33" w14:textId="77777777" w:rsidR="0017725B" w:rsidRDefault="0017725B" w:rsidP="00C05B29">
            <w:pPr>
              <w:rPr>
                <w:b/>
                <w:u w:val="single"/>
              </w:rPr>
            </w:pPr>
          </w:p>
          <w:p w14:paraId="62FB416C" w14:textId="5C09BBA7" w:rsidR="00A71CE7" w:rsidRPr="00A71CE7" w:rsidRDefault="00B05203" w:rsidP="00C05B29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DE2B5AA" w14:textId="77777777" w:rsidR="0017725B" w:rsidRPr="0017725B" w:rsidRDefault="0017725B" w:rsidP="00C05B29">
            <w:pPr>
              <w:rPr>
                <w:b/>
                <w:u w:val="single"/>
              </w:rPr>
            </w:pPr>
          </w:p>
        </w:tc>
      </w:tr>
      <w:tr w:rsidR="00AF6BBC" w14:paraId="34163AFC" w14:textId="77777777" w:rsidTr="00345119">
        <w:tc>
          <w:tcPr>
            <w:tcW w:w="9576" w:type="dxa"/>
          </w:tcPr>
          <w:p w14:paraId="71552F01" w14:textId="77777777" w:rsidR="008423E4" w:rsidRPr="00A8133F" w:rsidRDefault="00B05203" w:rsidP="00C05B2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F93EA9" w14:textId="77777777" w:rsidR="008423E4" w:rsidRDefault="008423E4" w:rsidP="00C05B29"/>
          <w:p w14:paraId="5BBA910D" w14:textId="1F5B8EEB" w:rsidR="00A71CE7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EE8CD3C" w14:textId="77777777" w:rsidR="008423E4" w:rsidRPr="00E21FDC" w:rsidRDefault="008423E4" w:rsidP="00C05B29">
            <w:pPr>
              <w:rPr>
                <w:b/>
              </w:rPr>
            </w:pPr>
          </w:p>
        </w:tc>
      </w:tr>
      <w:tr w:rsidR="00AF6BBC" w14:paraId="6F94C7F1" w14:textId="77777777" w:rsidTr="00345119">
        <w:tc>
          <w:tcPr>
            <w:tcW w:w="9576" w:type="dxa"/>
          </w:tcPr>
          <w:p w14:paraId="53E19443" w14:textId="77777777" w:rsidR="008423E4" w:rsidRPr="00A8133F" w:rsidRDefault="00B05203" w:rsidP="00C05B2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01A975" w14:textId="77777777" w:rsidR="008423E4" w:rsidRDefault="008423E4" w:rsidP="00C05B29"/>
          <w:p w14:paraId="2ACE9C30" w14:textId="0A33CE69" w:rsidR="009C36CD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12709">
              <w:t xml:space="preserve">H.B. 1563 amends the Government Code to </w:t>
            </w:r>
            <w:r w:rsidR="004871C2">
              <w:t xml:space="preserve">change the scheduled admissions policy that </w:t>
            </w:r>
            <w:r w:rsidR="00D12709">
              <w:t xml:space="preserve">the </w:t>
            </w:r>
            <w:r w:rsidR="0069485F">
              <w:t>Texas Board of Criminal Justice</w:t>
            </w:r>
            <w:r w:rsidR="00647AEF">
              <w:t xml:space="preserve"> (TBCJ)</w:t>
            </w:r>
            <w:r w:rsidR="00D12709">
              <w:t xml:space="preserve"> </w:t>
            </w:r>
            <w:r w:rsidR="004871C2">
              <w:t xml:space="preserve">must </w:t>
            </w:r>
            <w:r w:rsidR="00D12709">
              <w:t xml:space="preserve">adopt and enforce </w:t>
            </w:r>
            <w:r w:rsidR="004871C2">
              <w:t xml:space="preserve">from a policy </w:t>
            </w:r>
            <w:r w:rsidR="00D12709">
              <w:t xml:space="preserve">that </w:t>
            </w:r>
            <w:r w:rsidR="00647AEF">
              <w:t>permits</w:t>
            </w:r>
            <w:r w:rsidR="00D12709">
              <w:t xml:space="preserve"> </w:t>
            </w:r>
            <w:r w:rsidR="000618B3">
              <w:t xml:space="preserve">the institutional division of </w:t>
            </w:r>
            <w:r w:rsidR="004871C2">
              <w:t>the Texas Department of Criminal Justice (</w:t>
            </w:r>
            <w:r w:rsidR="00DD6629" w:rsidRPr="00DD6629">
              <w:t>TDCJ</w:t>
            </w:r>
            <w:r w:rsidR="004871C2">
              <w:t>)</w:t>
            </w:r>
            <w:r w:rsidR="00DD6629" w:rsidRPr="00DD6629">
              <w:t xml:space="preserve"> </w:t>
            </w:r>
            <w:r w:rsidR="000618B3">
              <w:t>to accept</w:t>
            </w:r>
            <w:r>
              <w:t xml:space="preserve"> </w:t>
            </w:r>
            <w:r w:rsidR="000618B3">
              <w:t xml:space="preserve">inmates within 45 days of processing </w:t>
            </w:r>
            <w:r w:rsidR="004871C2">
              <w:t xml:space="preserve">to a policy </w:t>
            </w:r>
            <w:r w:rsidR="000618B3">
              <w:t xml:space="preserve">that requires </w:t>
            </w:r>
            <w:r w:rsidR="00647AEF">
              <w:t xml:space="preserve">TDCJ to accept </w:t>
            </w:r>
            <w:r w:rsidR="009F42A7">
              <w:t>person</w:t>
            </w:r>
            <w:r w:rsidR="00A54331">
              <w:t>s</w:t>
            </w:r>
            <w:r w:rsidR="009F42A7">
              <w:t xml:space="preserve"> </w:t>
            </w:r>
            <w:r w:rsidR="00647AEF">
              <w:t xml:space="preserve">within 45 days of </w:t>
            </w:r>
            <w:r w:rsidR="001D7BA5">
              <w:t xml:space="preserve"> </w:t>
            </w:r>
            <w:r w:rsidR="009F42A7">
              <w:t xml:space="preserve">the date on which </w:t>
            </w:r>
            <w:r w:rsidR="00BC6AB1">
              <w:t xml:space="preserve">the </w:t>
            </w:r>
            <w:r w:rsidR="009F42A7">
              <w:t xml:space="preserve">person's </w:t>
            </w:r>
            <w:r w:rsidR="00BC6AB1">
              <w:t>pen packet</w:t>
            </w:r>
            <w:r w:rsidR="001D7BA5">
              <w:t xml:space="preserve"> documents </w:t>
            </w:r>
            <w:r w:rsidR="009F42A7">
              <w:t>have been received and certified</w:t>
            </w:r>
            <w:r w:rsidR="00647AEF">
              <w:t xml:space="preserve">. </w:t>
            </w:r>
            <w:r w:rsidR="007171E0">
              <w:t xml:space="preserve">The bill requires TBCJ to adopt the policy not later than December </w:t>
            </w:r>
            <w:r w:rsidR="00D03BCC">
              <w:t>3</w:t>
            </w:r>
            <w:r w:rsidR="007171E0">
              <w:t>1, 2023.</w:t>
            </w:r>
          </w:p>
          <w:p w14:paraId="2129C74A" w14:textId="5ACF1C1A" w:rsidR="00E71211" w:rsidRDefault="00E71211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49D15F" w14:textId="780A5279" w:rsidR="009730ED" w:rsidRDefault="00B05203" w:rsidP="00C05B29">
            <w:pPr>
              <w:jc w:val="both"/>
            </w:pPr>
            <w:r>
              <w:t>C.S.</w:t>
            </w:r>
            <w:r w:rsidR="00E71211">
              <w:t xml:space="preserve">H.B. 1563 requires TDCJ to </w:t>
            </w:r>
            <w:r w:rsidR="00A54331">
              <w:t xml:space="preserve">accept </w:t>
            </w:r>
            <w:r w:rsidR="00E71211" w:rsidRPr="00E71211">
              <w:t xml:space="preserve">custody of a person awaiting transfer to </w:t>
            </w:r>
            <w:r w:rsidR="00E71211">
              <w:t xml:space="preserve">TDCJ </w:t>
            </w:r>
            <w:r w:rsidR="00E71211" w:rsidRPr="00E71211">
              <w:t>following conviction of a felony</w:t>
            </w:r>
            <w:r w:rsidR="009F42A7">
              <w:t>, including a state jail felony,</w:t>
            </w:r>
            <w:r w:rsidR="00E71211" w:rsidRPr="00E71211">
              <w:t xml:space="preserve"> not later than the 45th day following the date on which </w:t>
            </w:r>
            <w:r>
              <w:t xml:space="preserve">the </w:t>
            </w:r>
            <w:r w:rsidR="009F42A7">
              <w:t>person</w:t>
            </w:r>
            <w:r w:rsidR="006D53E1">
              <w:t>'</w:t>
            </w:r>
            <w:r w:rsidR="009F42A7">
              <w:t>s p</w:t>
            </w:r>
            <w:r>
              <w:t xml:space="preserve">en </w:t>
            </w:r>
            <w:r w:rsidR="009F42A7">
              <w:t>p</w:t>
            </w:r>
            <w:r>
              <w:t>acket documents are received</w:t>
            </w:r>
            <w:r w:rsidR="009F42A7">
              <w:t xml:space="preserve"> and certified</w:t>
            </w:r>
            <w:r w:rsidR="00E71211" w:rsidRPr="00E71211">
              <w:t>.</w:t>
            </w:r>
            <w:r w:rsidR="00E71211">
              <w:t xml:space="preserve"> </w:t>
            </w:r>
            <w:r w:rsidR="004871C2">
              <w:t>I</w:t>
            </w:r>
            <w:r w:rsidR="008637F8">
              <w:t>f TDCJ does not take custody of the person within that period</w:t>
            </w:r>
            <w:r w:rsidR="004871C2">
              <w:t xml:space="preserve">, TDCJ </w:t>
            </w:r>
            <w:r w:rsidR="00A54331">
              <w:t xml:space="preserve">is required to </w:t>
            </w:r>
            <w:r w:rsidR="004871C2" w:rsidRPr="00E71211">
              <w:t xml:space="preserve">compensate the county for the cost of confinement for each day that </w:t>
            </w:r>
            <w:r w:rsidR="00D03BCC">
              <w:t>the</w:t>
            </w:r>
            <w:r w:rsidR="00D03BCC" w:rsidRPr="00E71211">
              <w:t xml:space="preserve"> </w:t>
            </w:r>
            <w:r w:rsidR="004871C2" w:rsidRPr="00E71211">
              <w:t xml:space="preserve">person remains confined in the county jail following the expiration of </w:t>
            </w:r>
            <w:r w:rsidR="004871C2">
              <w:t xml:space="preserve">that </w:t>
            </w:r>
            <w:r w:rsidR="004871C2" w:rsidRPr="00E71211">
              <w:t>period</w:t>
            </w:r>
            <w:r w:rsidR="008637F8">
              <w:t>.</w:t>
            </w:r>
            <w:r w:rsidR="00A71CE7" w:rsidRPr="002E3AFE">
              <w:t xml:space="preserve"> </w:t>
            </w:r>
            <w:r w:rsidR="002E3AFE" w:rsidRPr="000D34CF">
              <w:t xml:space="preserve">The compensation must be equal to the amount that would have been incurred by </w:t>
            </w:r>
            <w:r w:rsidR="00A54331">
              <w:t>TDCJ</w:t>
            </w:r>
            <w:r w:rsidR="002E3AFE" w:rsidRPr="000D34CF">
              <w:t xml:space="preserve"> to confine the person for that period.</w:t>
            </w:r>
            <w:r>
              <w:t xml:space="preserve"> The bill </w:t>
            </w:r>
            <w:r w:rsidR="00AE4943">
              <w:t xml:space="preserve">establishes </w:t>
            </w:r>
            <w:r>
              <w:t>the follow</w:t>
            </w:r>
            <w:r>
              <w:t xml:space="preserve">ing </w:t>
            </w:r>
            <w:r w:rsidR="00AE4943">
              <w:t xml:space="preserve">with respect </w:t>
            </w:r>
            <w:r>
              <w:t xml:space="preserve">to a person </w:t>
            </w:r>
            <w:r w:rsidR="00AE4943">
              <w:t xml:space="preserve">who remains </w:t>
            </w:r>
            <w:r>
              <w:t>confined in the county jail following the expiration of the 45</w:t>
            </w:r>
            <w:r w:rsidR="00D7742D">
              <w:noBreakHyphen/>
            </w:r>
            <w:r>
              <w:t>day period due to a delay caused by the county:</w:t>
            </w:r>
          </w:p>
          <w:p w14:paraId="35F1DAF7" w14:textId="0029F098" w:rsidR="009730ED" w:rsidRDefault="00B05203" w:rsidP="00C05B2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county is not entitled to compensation</w:t>
            </w:r>
            <w:r w:rsidR="00A54331">
              <w:t xml:space="preserve"> under the bill</w:t>
            </w:r>
            <w:r>
              <w:t xml:space="preserve"> </w:t>
            </w:r>
            <w:r w:rsidRPr="003353AC">
              <w:t xml:space="preserve">for the cost of confinement </w:t>
            </w:r>
            <w:r>
              <w:t>for any day that t</w:t>
            </w:r>
            <w:r>
              <w:t>he person remains confined due to the delay caused by the county; and</w:t>
            </w:r>
          </w:p>
          <w:p w14:paraId="1A6A0B14" w14:textId="6DA013BF" w:rsidR="009730ED" w:rsidRDefault="00B05203" w:rsidP="00C05B2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the county and TDCJ </w:t>
            </w:r>
            <w:r w:rsidR="00A54331">
              <w:t>are required to</w:t>
            </w:r>
            <w:r w:rsidR="00AE4943">
              <w:t xml:space="preserve"> </w:t>
            </w:r>
            <w:r>
              <w:t>arrange to transfer the person to TDCJ as soon as practicable after the delay.</w:t>
            </w:r>
          </w:p>
          <w:p w14:paraId="5675F074" w14:textId="69602B34" w:rsidR="00E71211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bill's </w:t>
            </w:r>
            <w:r w:rsidR="006E165A">
              <w:t>provisions regarding</w:t>
            </w:r>
            <w:r>
              <w:t xml:space="preserve"> TDCJ</w:t>
            </w:r>
            <w:r w:rsidR="006E165A">
              <w:t>'s</w:t>
            </w:r>
            <w:r>
              <w:t xml:space="preserve"> compensat</w:t>
            </w:r>
            <w:r w:rsidR="006E165A">
              <w:t>ion to</w:t>
            </w:r>
            <w:r>
              <w:t xml:space="preserve"> </w:t>
            </w:r>
            <w:r w:rsidR="006E165A">
              <w:t>counties</w:t>
            </w:r>
            <w:r>
              <w:t xml:space="preserve"> appl</w:t>
            </w:r>
            <w:r w:rsidR="006E165A">
              <w:t>y</w:t>
            </w:r>
            <w:r>
              <w:t xml:space="preserve"> </w:t>
            </w:r>
            <w:r w:rsidR="00A71CE7" w:rsidRPr="00A71CE7">
              <w:t xml:space="preserve">only to </w:t>
            </w:r>
            <w:r w:rsidR="006E165A">
              <w:t xml:space="preserve">compensation for </w:t>
            </w:r>
            <w:r w:rsidR="00A71CE7" w:rsidRPr="00A71CE7">
              <w:t>the cost of confinement of a person that occurs on or after January 1, 2024</w:t>
            </w:r>
            <w:r w:rsidR="006E165A">
              <w:t>, regardless of whether the transfer requirements are completed before, on, or after that date</w:t>
            </w:r>
            <w:r w:rsidR="00A71CE7">
              <w:t>.</w:t>
            </w:r>
          </w:p>
          <w:p w14:paraId="5E707FEB" w14:textId="4AF372F4" w:rsidR="008A0744" w:rsidRDefault="008A0744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8DE842" w14:textId="715B076F" w:rsidR="008A0744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1563 amends the Code of Criminal Procedure to proh</w:t>
            </w:r>
            <w:r>
              <w:t xml:space="preserve">ibit TDCJ from taking a </w:t>
            </w:r>
            <w:r w:rsidR="00A54331">
              <w:t>defendant</w:t>
            </w:r>
            <w:r w:rsidR="00247AFD">
              <w:t xml:space="preserve"> </w:t>
            </w:r>
            <w:r>
              <w:t xml:space="preserve">into custody until the designated officer determines that the </w:t>
            </w:r>
            <w:r w:rsidR="00DB6138">
              <w:t>defendant's</w:t>
            </w:r>
            <w:r>
              <w:t xml:space="preserve"> pen packet </w:t>
            </w:r>
            <w:r w:rsidRPr="008A0744">
              <w:t>documents do not contain any errors or deficiencies requiring corrective action by the county.</w:t>
            </w:r>
          </w:p>
          <w:p w14:paraId="2A13C69D" w14:textId="71D84BF3" w:rsidR="004871C2" w:rsidRDefault="004871C2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E69986" w14:textId="72631BBF" w:rsidR="004871C2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1563 repeals Section 499.121(c),</w:t>
            </w:r>
            <w:r>
              <w:t xml:space="preserve"> Government Code. </w:t>
            </w:r>
          </w:p>
          <w:p w14:paraId="534A9722" w14:textId="77777777" w:rsidR="008423E4" w:rsidRPr="00835628" w:rsidRDefault="008423E4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F6BBC" w14:paraId="0D259BEC" w14:textId="77777777" w:rsidTr="00345119">
        <w:tc>
          <w:tcPr>
            <w:tcW w:w="9576" w:type="dxa"/>
          </w:tcPr>
          <w:p w14:paraId="39C76B87" w14:textId="77777777" w:rsidR="008423E4" w:rsidRPr="00A8133F" w:rsidRDefault="00B05203" w:rsidP="00C05B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74E100" w14:textId="77777777" w:rsidR="008423E4" w:rsidRDefault="008423E4" w:rsidP="00C05B29"/>
          <w:p w14:paraId="48E8975D" w14:textId="3DC57782" w:rsidR="008423E4" w:rsidRPr="003624F2" w:rsidRDefault="00B05203" w:rsidP="00C05B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E03A6E0" w14:textId="77777777" w:rsidR="008423E4" w:rsidRPr="00233FDB" w:rsidRDefault="008423E4" w:rsidP="00C05B29">
            <w:pPr>
              <w:rPr>
                <w:b/>
              </w:rPr>
            </w:pPr>
          </w:p>
        </w:tc>
      </w:tr>
      <w:tr w:rsidR="00AF6BBC" w14:paraId="17F703B7" w14:textId="77777777" w:rsidTr="00345119">
        <w:tc>
          <w:tcPr>
            <w:tcW w:w="9576" w:type="dxa"/>
          </w:tcPr>
          <w:p w14:paraId="0C97B088" w14:textId="77777777" w:rsidR="002530EF" w:rsidRDefault="00B05203" w:rsidP="00C05B2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64EEB47" w14:textId="77777777" w:rsidR="001D7BA5" w:rsidRDefault="001D7BA5" w:rsidP="00C05B29">
            <w:pPr>
              <w:jc w:val="both"/>
            </w:pPr>
          </w:p>
          <w:p w14:paraId="055EAD56" w14:textId="29D1F0AA" w:rsidR="001D7BA5" w:rsidRDefault="00B05203" w:rsidP="00C05B29">
            <w:pPr>
              <w:jc w:val="both"/>
            </w:pPr>
            <w:r>
              <w:t xml:space="preserve">While C.S.H.B. </w:t>
            </w:r>
            <w:r w:rsidR="00BC6AB1">
              <w:t>1563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66865AEE" w14:textId="4B5B5459" w:rsidR="001D7BA5" w:rsidRDefault="001D7BA5" w:rsidP="00C05B29">
            <w:pPr>
              <w:jc w:val="both"/>
            </w:pPr>
          </w:p>
          <w:p w14:paraId="09BFA5CA" w14:textId="3EE4A809" w:rsidR="001D7BA5" w:rsidRDefault="00B05203" w:rsidP="00C05B29">
            <w:pPr>
              <w:jc w:val="both"/>
            </w:pPr>
            <w:r>
              <w:t>While both the substitute and the introduced require TDCJ to accept</w:t>
            </w:r>
            <w:r>
              <w:t xml:space="preserve"> custody of a person awaiting transfer to TDCJ following </w:t>
            </w:r>
            <w:r w:rsidR="006E165A">
              <w:t xml:space="preserve">a </w:t>
            </w:r>
            <w:r w:rsidR="00DD27EC">
              <w:t xml:space="preserve">felony </w:t>
            </w:r>
            <w:r>
              <w:t xml:space="preserve">conviction, the substitute </w:t>
            </w:r>
            <w:r w:rsidR="00565CAF">
              <w:t xml:space="preserve">includes a specification absent from the introduced </w:t>
            </w:r>
            <w:r w:rsidR="00D62769">
              <w:t xml:space="preserve">that </w:t>
            </w:r>
            <w:r w:rsidR="00BC6AB1">
              <w:t>this includes</w:t>
            </w:r>
            <w:r w:rsidR="00D62769">
              <w:t xml:space="preserve"> a state jail felony</w:t>
            </w:r>
            <w:r w:rsidR="00692165">
              <w:t xml:space="preserve"> conviction</w:t>
            </w:r>
            <w:r w:rsidR="00D62769">
              <w:t>. Whereas the introduced require</w:t>
            </w:r>
            <w:r w:rsidR="00197050">
              <w:t>d</w:t>
            </w:r>
            <w:r w:rsidR="00D62769">
              <w:t xml:space="preserve"> TDCJ to </w:t>
            </w:r>
            <w:r w:rsidR="0064086C">
              <w:t xml:space="preserve">take </w:t>
            </w:r>
            <w:r w:rsidR="00B638BB">
              <w:t>custody</w:t>
            </w:r>
            <w:r w:rsidR="00D62769">
              <w:t xml:space="preserve"> </w:t>
            </w:r>
            <w:r w:rsidR="0064086C">
              <w:t xml:space="preserve">not later than the </w:t>
            </w:r>
            <w:r w:rsidR="00D62769">
              <w:t>45</w:t>
            </w:r>
            <w:r w:rsidR="0064086C">
              <w:t>th</w:t>
            </w:r>
            <w:r w:rsidR="00D62769">
              <w:t xml:space="preserve"> day </w:t>
            </w:r>
            <w:r w:rsidR="0064086C">
              <w:t xml:space="preserve">following </w:t>
            </w:r>
            <w:r w:rsidR="00D62769">
              <w:t xml:space="preserve">the date on which all processing required for transfer </w:t>
            </w:r>
            <w:r w:rsidR="0064086C">
              <w:t xml:space="preserve">has </w:t>
            </w:r>
            <w:r w:rsidR="00F35C3C">
              <w:t xml:space="preserve">been completed, the substitute </w:t>
            </w:r>
            <w:r w:rsidR="0064086C">
              <w:t>requires</w:t>
            </w:r>
            <w:r w:rsidR="00197050">
              <w:t xml:space="preserve"> TDCJ </w:t>
            </w:r>
            <w:r w:rsidR="0064086C">
              <w:t>to</w:t>
            </w:r>
            <w:r w:rsidR="00197050">
              <w:t xml:space="preserve"> accept custody </w:t>
            </w:r>
            <w:r w:rsidR="0064086C">
              <w:t xml:space="preserve">not later than </w:t>
            </w:r>
            <w:r w:rsidR="00BA0A1A">
              <w:t>45</w:t>
            </w:r>
            <w:r w:rsidR="0064086C">
              <w:t>th</w:t>
            </w:r>
            <w:r w:rsidR="00BA0A1A">
              <w:t xml:space="preserve"> day </w:t>
            </w:r>
            <w:r w:rsidR="0064086C">
              <w:t xml:space="preserve">following </w:t>
            </w:r>
            <w:r w:rsidR="00BA0A1A">
              <w:t xml:space="preserve">the </w:t>
            </w:r>
            <w:r w:rsidR="00197050">
              <w:t xml:space="preserve">date the person's </w:t>
            </w:r>
            <w:r w:rsidR="00B638BB">
              <w:t>pen packet</w:t>
            </w:r>
            <w:r w:rsidR="00197050">
              <w:t xml:space="preserve"> documents have been received and certified</w:t>
            </w:r>
            <w:r w:rsidR="00F35C3C">
              <w:t xml:space="preserve">. </w:t>
            </w:r>
          </w:p>
          <w:p w14:paraId="7DD8F64B" w14:textId="076D89FE" w:rsidR="00BA0A1A" w:rsidRDefault="00BA0A1A" w:rsidP="00C05B29">
            <w:pPr>
              <w:jc w:val="both"/>
            </w:pPr>
          </w:p>
          <w:p w14:paraId="6990E7F8" w14:textId="4791B16E" w:rsidR="00BA0A1A" w:rsidRDefault="00B05203" w:rsidP="00C05B29">
            <w:pPr>
              <w:jc w:val="both"/>
            </w:pPr>
            <w:r>
              <w:t xml:space="preserve">The substitute includes </w:t>
            </w:r>
            <w:r w:rsidR="00197050">
              <w:t xml:space="preserve">the following </w:t>
            </w:r>
            <w:r>
              <w:t xml:space="preserve">provisions absent from the introduced </w:t>
            </w:r>
            <w:r w:rsidR="00197050">
              <w:t xml:space="preserve">with respect to </w:t>
            </w:r>
            <w:r>
              <w:t xml:space="preserve">a person </w:t>
            </w:r>
            <w:r w:rsidR="00197050">
              <w:t xml:space="preserve">who </w:t>
            </w:r>
            <w:r>
              <w:t>remains confined in the county jail following the expiration of the</w:t>
            </w:r>
            <w:r w:rsidR="003353AC">
              <w:t xml:space="preserve"> 45</w:t>
            </w:r>
            <w:r w:rsidR="00216B28">
              <w:t>-</w:t>
            </w:r>
            <w:r w:rsidR="003353AC">
              <w:t xml:space="preserve">day </w:t>
            </w:r>
            <w:r>
              <w:t>period due to a delay caused by the county:</w:t>
            </w:r>
          </w:p>
          <w:p w14:paraId="772012BF" w14:textId="02C64B80" w:rsidR="00BA0A1A" w:rsidRDefault="00B05203" w:rsidP="00C05B2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 provision </w:t>
            </w:r>
            <w:r w:rsidR="00DD27EC">
              <w:t>e</w:t>
            </w:r>
            <w:r w:rsidR="003353AC">
              <w:t>stablish</w:t>
            </w:r>
            <w:r>
              <w:t>ing</w:t>
            </w:r>
            <w:r w:rsidR="00DD27EC">
              <w:t xml:space="preserve"> </w:t>
            </w:r>
            <w:r w:rsidR="003353AC">
              <w:t>that</w:t>
            </w:r>
            <w:r>
              <w:t xml:space="preserve"> the county is not entitled to compensation </w:t>
            </w:r>
            <w:r w:rsidR="003353AC" w:rsidRPr="003353AC">
              <w:t xml:space="preserve">for the cost of confinement </w:t>
            </w:r>
            <w:r>
              <w:t>for any day that the person remains confined due to the delay caused by the county; and</w:t>
            </w:r>
          </w:p>
          <w:p w14:paraId="10539ABC" w14:textId="600ACDB3" w:rsidR="00BA0A1A" w:rsidRDefault="00B05203" w:rsidP="00C05B2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a </w:t>
            </w:r>
            <w:r w:rsidR="00DD27EC">
              <w:t>r</w:t>
            </w:r>
            <w:r w:rsidR="003353AC">
              <w:t>equire</w:t>
            </w:r>
            <w:r>
              <w:t>ment for</w:t>
            </w:r>
            <w:r w:rsidR="003353AC">
              <w:t xml:space="preserve"> </w:t>
            </w:r>
            <w:r>
              <w:t xml:space="preserve">the county and </w:t>
            </w:r>
            <w:r w:rsidR="003353AC">
              <w:t>TDCJ to</w:t>
            </w:r>
            <w:r>
              <w:t xml:space="preserve"> arrange to transfer the person to </w:t>
            </w:r>
            <w:r w:rsidR="003353AC">
              <w:t xml:space="preserve">TDCJ </w:t>
            </w:r>
            <w:r>
              <w:t>as</w:t>
            </w:r>
            <w:r>
              <w:t xml:space="preserve"> soon as practicable after the delay.</w:t>
            </w:r>
          </w:p>
          <w:p w14:paraId="37C746A5" w14:textId="77777777" w:rsidR="00BC6AB1" w:rsidRDefault="00BC6AB1" w:rsidP="00C05B29">
            <w:pPr>
              <w:jc w:val="both"/>
            </w:pPr>
          </w:p>
          <w:p w14:paraId="0061D491" w14:textId="1E93CEE2" w:rsidR="00BC6AB1" w:rsidRDefault="00B05203" w:rsidP="00C05B29">
            <w:pPr>
              <w:jc w:val="both"/>
            </w:pPr>
            <w:r>
              <w:t xml:space="preserve">The substitute includes a prohibition absent from the introduced against </w:t>
            </w:r>
            <w:r w:rsidRPr="00BC6AB1">
              <w:t xml:space="preserve">TDCJ taking a defendant into custody until the designated officer determines that the </w:t>
            </w:r>
            <w:r w:rsidR="00216B28">
              <w:t>defendant'</w:t>
            </w:r>
            <w:r w:rsidRPr="00BC6AB1">
              <w:t>s pen packet documents do not contain any errors</w:t>
            </w:r>
            <w:r w:rsidRPr="00BC6AB1">
              <w:t xml:space="preserve"> or deficiencies requiring corrective action by the county</w:t>
            </w:r>
            <w:r>
              <w:t>.</w:t>
            </w:r>
          </w:p>
          <w:p w14:paraId="1292774A" w14:textId="1C2C81B4" w:rsidR="001D7BA5" w:rsidRPr="001D7BA5" w:rsidRDefault="001D7BA5" w:rsidP="00C05B29">
            <w:pPr>
              <w:jc w:val="both"/>
            </w:pPr>
          </w:p>
        </w:tc>
      </w:tr>
      <w:tr w:rsidR="00AF6BBC" w14:paraId="3C755203" w14:textId="77777777" w:rsidTr="00345119">
        <w:tc>
          <w:tcPr>
            <w:tcW w:w="9576" w:type="dxa"/>
          </w:tcPr>
          <w:p w14:paraId="57539483" w14:textId="77777777" w:rsidR="002530EF" w:rsidRPr="009C1E9A" w:rsidRDefault="002530EF" w:rsidP="00C05B29">
            <w:pPr>
              <w:rPr>
                <w:b/>
                <w:u w:val="single"/>
              </w:rPr>
            </w:pPr>
          </w:p>
        </w:tc>
      </w:tr>
      <w:tr w:rsidR="00AF6BBC" w14:paraId="3F9D1B1C" w14:textId="77777777" w:rsidTr="00345119">
        <w:tc>
          <w:tcPr>
            <w:tcW w:w="9576" w:type="dxa"/>
          </w:tcPr>
          <w:p w14:paraId="2B002521" w14:textId="77777777" w:rsidR="002530EF" w:rsidRPr="002530EF" w:rsidRDefault="002530EF" w:rsidP="00C05B29">
            <w:pPr>
              <w:jc w:val="both"/>
            </w:pPr>
          </w:p>
        </w:tc>
      </w:tr>
    </w:tbl>
    <w:p w14:paraId="76DB5737" w14:textId="77777777" w:rsidR="008423E4" w:rsidRPr="00BE0E75" w:rsidRDefault="008423E4" w:rsidP="00C05B29">
      <w:pPr>
        <w:jc w:val="both"/>
        <w:rPr>
          <w:rFonts w:ascii="Arial" w:hAnsi="Arial"/>
          <w:sz w:val="16"/>
          <w:szCs w:val="16"/>
        </w:rPr>
      </w:pPr>
    </w:p>
    <w:p w14:paraId="57ADD8CF" w14:textId="77777777" w:rsidR="004108C3" w:rsidRPr="008423E4" w:rsidRDefault="004108C3" w:rsidP="00C05B2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E060" w14:textId="77777777" w:rsidR="00000000" w:rsidRDefault="00B05203">
      <w:r>
        <w:separator/>
      </w:r>
    </w:p>
  </w:endnote>
  <w:endnote w:type="continuationSeparator" w:id="0">
    <w:p w14:paraId="29D6D34D" w14:textId="77777777" w:rsidR="00000000" w:rsidRDefault="00B0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A1B8" w14:textId="77777777" w:rsidR="003B4986" w:rsidRDefault="003B4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F6BBC" w14:paraId="3E1BCC83" w14:textId="77777777" w:rsidTr="009C1E9A">
      <w:trPr>
        <w:cantSplit/>
      </w:trPr>
      <w:tc>
        <w:tcPr>
          <w:tcW w:w="0" w:type="pct"/>
        </w:tcPr>
        <w:p w14:paraId="0FAAE4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068A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EA7ED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1044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2E8E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6BBC" w14:paraId="67894FAD" w14:textId="77777777" w:rsidTr="009C1E9A">
      <w:trPr>
        <w:cantSplit/>
      </w:trPr>
      <w:tc>
        <w:tcPr>
          <w:tcW w:w="0" w:type="pct"/>
        </w:tcPr>
        <w:p w14:paraId="4B8185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E387EE" w14:textId="78FD5241" w:rsidR="00EC379B" w:rsidRPr="009C1E9A" w:rsidRDefault="00B052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23601-D</w:t>
          </w:r>
        </w:p>
      </w:tc>
      <w:tc>
        <w:tcPr>
          <w:tcW w:w="2453" w:type="pct"/>
        </w:tcPr>
        <w:p w14:paraId="2DE28EB4" w14:textId="3CA67DA4" w:rsidR="00EC379B" w:rsidRDefault="00B052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05B29">
            <w:t>23.105.344</w:t>
          </w:r>
          <w:r>
            <w:fldChar w:fldCharType="end"/>
          </w:r>
        </w:p>
      </w:tc>
    </w:tr>
    <w:tr w:rsidR="00AF6BBC" w14:paraId="31BC9588" w14:textId="77777777" w:rsidTr="009C1E9A">
      <w:trPr>
        <w:cantSplit/>
      </w:trPr>
      <w:tc>
        <w:tcPr>
          <w:tcW w:w="0" w:type="pct"/>
        </w:tcPr>
        <w:p w14:paraId="19C29A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A2AE7B" w14:textId="43C5487F" w:rsidR="00EC379B" w:rsidRPr="009C1E9A" w:rsidRDefault="00B052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19697</w:t>
          </w:r>
        </w:p>
      </w:tc>
      <w:tc>
        <w:tcPr>
          <w:tcW w:w="2453" w:type="pct"/>
        </w:tcPr>
        <w:p w14:paraId="510C8C9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7B14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6BBC" w14:paraId="4304A1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C14A57" w14:textId="77777777" w:rsidR="00EC379B" w:rsidRDefault="00B052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4DAD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B360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79B2" w14:textId="77777777" w:rsidR="003B4986" w:rsidRDefault="003B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5870" w14:textId="77777777" w:rsidR="00000000" w:rsidRDefault="00B05203">
      <w:r>
        <w:separator/>
      </w:r>
    </w:p>
  </w:footnote>
  <w:footnote w:type="continuationSeparator" w:id="0">
    <w:p w14:paraId="2775E5A9" w14:textId="77777777" w:rsidR="00000000" w:rsidRDefault="00B0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2170" w14:textId="77777777" w:rsidR="003B4986" w:rsidRDefault="003B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1831" w14:textId="77777777" w:rsidR="003B4986" w:rsidRDefault="003B4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B55D" w14:textId="77777777" w:rsidR="003B4986" w:rsidRDefault="003B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D3E"/>
    <w:multiLevelType w:val="hybridMultilevel"/>
    <w:tmpl w:val="CE46ED9A"/>
    <w:lvl w:ilvl="0" w:tplc="49B65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C5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84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7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47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E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6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F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8F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7A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8B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4CF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7D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050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BA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28"/>
    <w:rsid w:val="00216BBA"/>
    <w:rsid w:val="00216E12"/>
    <w:rsid w:val="00217466"/>
    <w:rsid w:val="0021751D"/>
    <w:rsid w:val="00217C49"/>
    <w:rsid w:val="0022177D"/>
    <w:rsid w:val="00223C39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AFD"/>
    <w:rsid w:val="00247D27"/>
    <w:rsid w:val="00250A50"/>
    <w:rsid w:val="00251ED5"/>
    <w:rsid w:val="002530EF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D9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996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AFE"/>
    <w:rsid w:val="002E7DF9"/>
    <w:rsid w:val="002F097B"/>
    <w:rsid w:val="002F2147"/>
    <w:rsid w:val="002F3111"/>
    <w:rsid w:val="002F34F2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3AC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DB9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23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986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73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DB0"/>
    <w:rsid w:val="00474927"/>
    <w:rsid w:val="00475173"/>
    <w:rsid w:val="00475913"/>
    <w:rsid w:val="00480080"/>
    <w:rsid w:val="004824A7"/>
    <w:rsid w:val="00483AF0"/>
    <w:rsid w:val="00484167"/>
    <w:rsid w:val="004871C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40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3C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CAF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C73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3AD"/>
    <w:rsid w:val="006402E7"/>
    <w:rsid w:val="0064086C"/>
    <w:rsid w:val="00640CB6"/>
    <w:rsid w:val="00641B42"/>
    <w:rsid w:val="00645750"/>
    <w:rsid w:val="00647AEF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165"/>
    <w:rsid w:val="00693AFA"/>
    <w:rsid w:val="0069485F"/>
    <w:rsid w:val="00695101"/>
    <w:rsid w:val="00695B9A"/>
    <w:rsid w:val="00696563"/>
    <w:rsid w:val="00696E47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3E1"/>
    <w:rsid w:val="006E0CAC"/>
    <w:rsid w:val="006E165A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C1F"/>
    <w:rsid w:val="00705276"/>
    <w:rsid w:val="007066A0"/>
    <w:rsid w:val="007075FB"/>
    <w:rsid w:val="0070787B"/>
    <w:rsid w:val="0071131D"/>
    <w:rsid w:val="00711E3D"/>
    <w:rsid w:val="00711E85"/>
    <w:rsid w:val="00712DDA"/>
    <w:rsid w:val="007171E0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43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097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855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58E"/>
    <w:rsid w:val="0085797D"/>
    <w:rsid w:val="00860020"/>
    <w:rsid w:val="008618E7"/>
    <w:rsid w:val="00861995"/>
    <w:rsid w:val="0086231A"/>
    <w:rsid w:val="008637F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97"/>
    <w:rsid w:val="008861EE"/>
    <w:rsid w:val="00890B59"/>
    <w:rsid w:val="008930D7"/>
    <w:rsid w:val="008947A7"/>
    <w:rsid w:val="00897E80"/>
    <w:rsid w:val="008A04FA"/>
    <w:rsid w:val="008A0744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EDA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0ED"/>
    <w:rsid w:val="00976837"/>
    <w:rsid w:val="00980311"/>
    <w:rsid w:val="0098170E"/>
    <w:rsid w:val="0098285C"/>
    <w:rsid w:val="00983B56"/>
    <w:rsid w:val="00983CAC"/>
    <w:rsid w:val="009847FD"/>
    <w:rsid w:val="009851B3"/>
    <w:rsid w:val="00985300"/>
    <w:rsid w:val="00986720"/>
    <w:rsid w:val="00987B85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B72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2A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0D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331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CE7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943"/>
    <w:rsid w:val="00AE4F1C"/>
    <w:rsid w:val="00AF1433"/>
    <w:rsid w:val="00AF48B4"/>
    <w:rsid w:val="00AF4923"/>
    <w:rsid w:val="00AF6BBC"/>
    <w:rsid w:val="00AF7C74"/>
    <w:rsid w:val="00B000AF"/>
    <w:rsid w:val="00B04E79"/>
    <w:rsid w:val="00B05203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8B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A1A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AB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B29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B0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EA9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23F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BCC"/>
    <w:rsid w:val="00D060A8"/>
    <w:rsid w:val="00D06605"/>
    <w:rsid w:val="00D0720F"/>
    <w:rsid w:val="00D074E2"/>
    <w:rsid w:val="00D11B0B"/>
    <w:rsid w:val="00D12709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769"/>
    <w:rsid w:val="00D63B53"/>
    <w:rsid w:val="00D64B88"/>
    <w:rsid w:val="00D64DC5"/>
    <w:rsid w:val="00D66BA6"/>
    <w:rsid w:val="00D700B1"/>
    <w:rsid w:val="00D730FA"/>
    <w:rsid w:val="00D76631"/>
    <w:rsid w:val="00D768B7"/>
    <w:rsid w:val="00D7742D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E5C"/>
    <w:rsid w:val="00DA3687"/>
    <w:rsid w:val="00DA39F2"/>
    <w:rsid w:val="00DA564B"/>
    <w:rsid w:val="00DA6A5C"/>
    <w:rsid w:val="00DB311F"/>
    <w:rsid w:val="00DB53C6"/>
    <w:rsid w:val="00DB59E3"/>
    <w:rsid w:val="00DB6138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7EC"/>
    <w:rsid w:val="00DD5BCC"/>
    <w:rsid w:val="00DD6629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11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430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F3C"/>
    <w:rsid w:val="00F307B6"/>
    <w:rsid w:val="00F30EB8"/>
    <w:rsid w:val="00F31876"/>
    <w:rsid w:val="00F31C67"/>
    <w:rsid w:val="00F35C3C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E87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E97ECC-0902-4356-BBAA-7490AD4A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60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0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0DC"/>
    <w:rPr>
      <w:b/>
      <w:bCs/>
    </w:rPr>
  </w:style>
  <w:style w:type="paragraph" w:styleId="Revision">
    <w:name w:val="Revision"/>
    <w:hidden/>
    <w:uiPriority w:val="99"/>
    <w:semiHidden/>
    <w:rsid w:val="0076243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53AC"/>
    <w:pPr>
      <w:ind w:left="720"/>
      <w:contextualSpacing/>
    </w:pPr>
  </w:style>
  <w:style w:type="character" w:styleId="Hyperlink">
    <w:name w:val="Hyperlink"/>
    <w:basedOn w:val="DefaultParagraphFont"/>
    <w:unhideWhenUsed/>
    <w:rsid w:val="00704C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54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4508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HB01563 (Committee Report (Substituted))</vt:lpstr>
    </vt:vector>
  </TitlesOfParts>
  <Company>State of Texas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23601</dc:subject>
  <dc:creator>State of Texas</dc:creator>
  <dc:description>HB 1563 by Harless-(H)Corrections (Substitute Document Number: 88R 19697)</dc:description>
  <cp:lastModifiedBy>Thomas Weis</cp:lastModifiedBy>
  <cp:revision>2</cp:revision>
  <cp:lastPrinted>2003-11-26T17:21:00Z</cp:lastPrinted>
  <dcterms:created xsi:type="dcterms:W3CDTF">2023-04-19T23:13:00Z</dcterms:created>
  <dcterms:modified xsi:type="dcterms:W3CDTF">2023-04-19T23:13:00Z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23.105.344</vt:lpwstr>
  </property>
</Properties>
</file>