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5D330F" w14:paraId="4944E751" w14:textId="77777777" w:rsidTr="00345119">
        <w:tc>
          <w:tcPr>
            <w:tcW w:w="9576" w:type="dxa"/>
            <w:noWrap/>
          </w:tcPr>
          <w:p w14:paraId="3D8C4521" w14:textId="77777777" w:rsidR="008423E4" w:rsidRPr="0022177D" w:rsidRDefault="00C21B65" w:rsidP="00825158">
            <w:pPr>
              <w:pStyle w:val="Heading1"/>
            </w:pPr>
            <w:r w:rsidRPr="00631897">
              <w:t>BILL ANALYSIS</w:t>
            </w:r>
          </w:p>
        </w:tc>
      </w:tr>
    </w:tbl>
    <w:p w14:paraId="736AFC0B" w14:textId="77777777" w:rsidR="008423E4" w:rsidRPr="0022177D" w:rsidRDefault="008423E4" w:rsidP="00825158">
      <w:pPr>
        <w:jc w:val="center"/>
      </w:pPr>
    </w:p>
    <w:p w14:paraId="6A54283B" w14:textId="77777777" w:rsidR="008423E4" w:rsidRPr="00B31F0E" w:rsidRDefault="008423E4" w:rsidP="00825158"/>
    <w:p w14:paraId="3998518D" w14:textId="77777777" w:rsidR="008423E4" w:rsidRPr="00742794" w:rsidRDefault="008423E4" w:rsidP="00825158">
      <w:pPr>
        <w:tabs>
          <w:tab w:val="right" w:pos="9360"/>
        </w:tabs>
      </w:pPr>
    </w:p>
    <w:tbl>
      <w:tblPr>
        <w:tblW w:w="0" w:type="auto"/>
        <w:tblLayout w:type="fixed"/>
        <w:tblLook w:val="01E0" w:firstRow="1" w:lastRow="1" w:firstColumn="1" w:lastColumn="1" w:noHBand="0" w:noVBand="0"/>
      </w:tblPr>
      <w:tblGrid>
        <w:gridCol w:w="9576"/>
      </w:tblGrid>
      <w:tr w:rsidR="005D330F" w14:paraId="1AFA376A" w14:textId="77777777" w:rsidTr="00345119">
        <w:tc>
          <w:tcPr>
            <w:tcW w:w="9576" w:type="dxa"/>
          </w:tcPr>
          <w:p w14:paraId="237D5A34" w14:textId="0478C644" w:rsidR="008423E4" w:rsidRPr="00861995" w:rsidRDefault="00C21B65" w:rsidP="00825158">
            <w:pPr>
              <w:jc w:val="right"/>
            </w:pPr>
            <w:r>
              <w:t>C.S.H.B. 1595</w:t>
            </w:r>
          </w:p>
        </w:tc>
      </w:tr>
      <w:tr w:rsidR="005D330F" w14:paraId="23F6CE67" w14:textId="77777777" w:rsidTr="00345119">
        <w:tc>
          <w:tcPr>
            <w:tcW w:w="9576" w:type="dxa"/>
          </w:tcPr>
          <w:p w14:paraId="0C2C8BAB" w14:textId="71222845" w:rsidR="008423E4" w:rsidRPr="00861995" w:rsidRDefault="00C21B65" w:rsidP="00825158">
            <w:pPr>
              <w:jc w:val="right"/>
            </w:pPr>
            <w:r>
              <w:t xml:space="preserve">By: </w:t>
            </w:r>
            <w:r w:rsidR="00E969ED">
              <w:t>Bonnen</w:t>
            </w:r>
          </w:p>
        </w:tc>
      </w:tr>
      <w:tr w:rsidR="005D330F" w14:paraId="49DAB220" w14:textId="77777777" w:rsidTr="00345119">
        <w:tc>
          <w:tcPr>
            <w:tcW w:w="9576" w:type="dxa"/>
          </w:tcPr>
          <w:p w14:paraId="4E59107F" w14:textId="57CACE6F" w:rsidR="008423E4" w:rsidRPr="00861995" w:rsidRDefault="00C21B65" w:rsidP="00825158">
            <w:pPr>
              <w:jc w:val="right"/>
            </w:pPr>
            <w:r>
              <w:t>Higher Education</w:t>
            </w:r>
          </w:p>
        </w:tc>
      </w:tr>
      <w:tr w:rsidR="005D330F" w14:paraId="5002AFF2" w14:textId="77777777" w:rsidTr="00345119">
        <w:tc>
          <w:tcPr>
            <w:tcW w:w="9576" w:type="dxa"/>
          </w:tcPr>
          <w:p w14:paraId="65F0553B" w14:textId="484607DE" w:rsidR="008423E4" w:rsidRDefault="00C21B65" w:rsidP="00825158">
            <w:pPr>
              <w:jc w:val="right"/>
            </w:pPr>
            <w:r>
              <w:t>Committee Report (Substituted)</w:t>
            </w:r>
          </w:p>
        </w:tc>
      </w:tr>
    </w:tbl>
    <w:p w14:paraId="1224A5E4" w14:textId="77777777" w:rsidR="008423E4" w:rsidRDefault="008423E4" w:rsidP="00825158">
      <w:pPr>
        <w:tabs>
          <w:tab w:val="right" w:pos="9360"/>
        </w:tabs>
      </w:pPr>
    </w:p>
    <w:p w14:paraId="22FCE08A" w14:textId="77777777" w:rsidR="008423E4" w:rsidRDefault="008423E4" w:rsidP="00825158"/>
    <w:p w14:paraId="5A3ED743" w14:textId="77777777" w:rsidR="008423E4" w:rsidRDefault="008423E4" w:rsidP="00825158"/>
    <w:tbl>
      <w:tblPr>
        <w:tblW w:w="0" w:type="auto"/>
        <w:tblCellMar>
          <w:left w:w="115" w:type="dxa"/>
          <w:right w:w="115" w:type="dxa"/>
        </w:tblCellMar>
        <w:tblLook w:val="01E0" w:firstRow="1" w:lastRow="1" w:firstColumn="1" w:lastColumn="1" w:noHBand="0" w:noVBand="0"/>
      </w:tblPr>
      <w:tblGrid>
        <w:gridCol w:w="9360"/>
      </w:tblGrid>
      <w:tr w:rsidR="005D330F" w14:paraId="6F1D6163" w14:textId="77777777" w:rsidTr="00345119">
        <w:tc>
          <w:tcPr>
            <w:tcW w:w="9576" w:type="dxa"/>
          </w:tcPr>
          <w:p w14:paraId="37D509F8" w14:textId="77777777" w:rsidR="008423E4" w:rsidRPr="00A8133F" w:rsidRDefault="00C21B65" w:rsidP="00825158">
            <w:pPr>
              <w:rPr>
                <w:b/>
              </w:rPr>
            </w:pPr>
            <w:r w:rsidRPr="009C1E9A">
              <w:rPr>
                <w:b/>
                <w:u w:val="single"/>
              </w:rPr>
              <w:t>BACKGROUND AND PURPOSE</w:t>
            </w:r>
            <w:r>
              <w:rPr>
                <w:b/>
              </w:rPr>
              <w:t xml:space="preserve"> </w:t>
            </w:r>
          </w:p>
          <w:p w14:paraId="02EC46C4" w14:textId="77777777" w:rsidR="008423E4" w:rsidRDefault="008423E4" w:rsidP="00825158"/>
          <w:p w14:paraId="3D636E3F" w14:textId="3B295D63" w:rsidR="008423E4" w:rsidRDefault="00C21B65" w:rsidP="00825158">
            <w:pPr>
              <w:pStyle w:val="Header"/>
              <w:tabs>
                <w:tab w:val="clear" w:pos="4320"/>
                <w:tab w:val="clear" w:pos="8640"/>
              </w:tabs>
              <w:jc w:val="both"/>
            </w:pPr>
            <w:r>
              <w:t xml:space="preserve">The U.S. Census Bureau estimated in 2022 that the population of </w:t>
            </w:r>
            <w:r w:rsidR="00B42906" w:rsidRPr="00B42906">
              <w:t>Texas surpass</w:t>
            </w:r>
            <w:r>
              <w:t>ed 30</w:t>
            </w:r>
            <w:r w:rsidR="00B42906" w:rsidRPr="00B42906">
              <w:t xml:space="preserve"> million </w:t>
            </w:r>
            <w:r>
              <w:t>people</w:t>
            </w:r>
            <w:r w:rsidR="00B42906" w:rsidRPr="00B42906">
              <w:t>.</w:t>
            </w:r>
            <w:r w:rsidR="001A2C36">
              <w:t xml:space="preserve"> This is an increase of roughly five million people since the 2010 census.</w:t>
            </w:r>
            <w:r w:rsidR="00B42906" w:rsidRPr="00B42906">
              <w:t xml:space="preserve"> This growth represents significant opportunity but</w:t>
            </w:r>
            <w:r w:rsidR="006C0490">
              <w:t>,</w:t>
            </w:r>
            <w:r w:rsidR="00B42906" w:rsidRPr="00B42906">
              <w:t xml:space="preserve"> </w:t>
            </w:r>
            <w:r>
              <w:t xml:space="preserve">as the Federal Reserve Bank of Dallas notes, </w:t>
            </w:r>
            <w:r w:rsidR="00B42906" w:rsidRPr="00B42906">
              <w:t xml:space="preserve">also </w:t>
            </w:r>
            <w:r>
              <w:t xml:space="preserve">will lead to </w:t>
            </w:r>
            <w:r w:rsidR="00B42906" w:rsidRPr="00B42906">
              <w:t>a corresponding strain on the state's infrastructure</w:t>
            </w:r>
            <w:r>
              <w:t xml:space="preserve"> and public re</w:t>
            </w:r>
            <w:r>
              <w:t>sources</w:t>
            </w:r>
            <w:r w:rsidR="00B42906" w:rsidRPr="00B42906">
              <w:t xml:space="preserve">. </w:t>
            </w:r>
            <w:r>
              <w:t>C.S.H.B. 1595 seeks to</w:t>
            </w:r>
            <w:r w:rsidRPr="00B42906">
              <w:t xml:space="preserve"> accelerate state universities' progress toward achieving the goals of Building a Talent Strong Texas, as established by the Texas Higher Education Coordinating Board, and help address the rapidly evolving needs of the Texas </w:t>
            </w:r>
            <w:r w:rsidRPr="00B42906">
              <w:t>economy</w:t>
            </w:r>
            <w:r w:rsidR="00225C18">
              <w:t xml:space="preserve"> by</w:t>
            </w:r>
            <w:r w:rsidR="00B42906" w:rsidRPr="00B42906">
              <w:t xml:space="preserve"> </w:t>
            </w:r>
            <w:r w:rsidR="00225C18">
              <w:t>redesignating</w:t>
            </w:r>
            <w:r w:rsidR="00B42906" w:rsidRPr="00B42906">
              <w:t xml:space="preserve"> the N</w:t>
            </w:r>
            <w:r w:rsidR="00225C18">
              <w:t xml:space="preserve">ational </w:t>
            </w:r>
            <w:r w:rsidR="00B42906" w:rsidRPr="00B42906">
              <w:t>R</w:t>
            </w:r>
            <w:r w:rsidR="00225C18">
              <w:t xml:space="preserve">esearch </w:t>
            </w:r>
            <w:r w:rsidR="00B42906" w:rsidRPr="00B42906">
              <w:t>U</w:t>
            </w:r>
            <w:r w:rsidR="00225C18">
              <w:t xml:space="preserve">niversity </w:t>
            </w:r>
            <w:r w:rsidR="00B42906" w:rsidRPr="00B42906">
              <w:t>F</w:t>
            </w:r>
            <w:r w:rsidR="00225C18">
              <w:t xml:space="preserve">und as the Texas University Fund and </w:t>
            </w:r>
            <w:r w:rsidR="00225C18" w:rsidRPr="00B42906">
              <w:t>modify</w:t>
            </w:r>
            <w:r w:rsidR="00225C18">
              <w:t>ing</w:t>
            </w:r>
            <w:r w:rsidR="00225C18" w:rsidRPr="00B42906">
              <w:t xml:space="preserve"> </w:t>
            </w:r>
            <w:r w:rsidR="00225C18">
              <w:t>its</w:t>
            </w:r>
            <w:r w:rsidR="00225C18" w:rsidRPr="00B42906">
              <w:t xml:space="preserve"> structure </w:t>
            </w:r>
            <w:r w:rsidR="00B42906" w:rsidRPr="00B42906">
              <w:t xml:space="preserve">to offer performance-based funding driven by research expenditures. </w:t>
            </w:r>
            <w:r w:rsidR="00225C18">
              <w:t>Under this new structure, which is designed to</w:t>
            </w:r>
            <w:r w:rsidR="00225C18" w:rsidRPr="00B42906">
              <w:t xml:space="preserve"> </w:t>
            </w:r>
            <w:r w:rsidR="00B42906" w:rsidRPr="00B42906">
              <w:t xml:space="preserve">ensure that institutions are not only competitive across </w:t>
            </w:r>
            <w:r w:rsidR="00225C18">
              <w:t>Texas</w:t>
            </w:r>
            <w:r w:rsidR="00B42906" w:rsidRPr="00B42906">
              <w:t>, but nationally</w:t>
            </w:r>
            <w:r w:rsidR="00225C18">
              <w:t>,</w:t>
            </w:r>
            <w:r w:rsidR="00225C18" w:rsidRPr="00B42906">
              <w:t xml:space="preserve"> </w:t>
            </w:r>
            <w:r w:rsidR="00225C18">
              <w:t>e</w:t>
            </w:r>
            <w:r w:rsidR="00B42906" w:rsidRPr="00B42906">
              <w:t>ligible institutions would receive a base funding amount dependent on the institution</w:t>
            </w:r>
            <w:r w:rsidR="00225C18">
              <w:t>'</w:t>
            </w:r>
            <w:r w:rsidR="00B42906" w:rsidRPr="00B42906">
              <w:t xml:space="preserve">s research expenditures, </w:t>
            </w:r>
            <w:r w:rsidR="00225C18">
              <w:t>as well as</w:t>
            </w:r>
            <w:r w:rsidR="00225C18" w:rsidRPr="00B42906">
              <w:t xml:space="preserve"> </w:t>
            </w:r>
            <w:r w:rsidR="00B42906" w:rsidRPr="00B42906">
              <w:t xml:space="preserve">supplemental funding tied to </w:t>
            </w:r>
            <w:r w:rsidR="00225C18">
              <w:t>the amount of</w:t>
            </w:r>
            <w:r w:rsidR="00B42906" w:rsidRPr="00B42906">
              <w:t xml:space="preserve"> federal and private research expenditures</w:t>
            </w:r>
            <w:r w:rsidR="00225C18">
              <w:t xml:space="preserve"> made</w:t>
            </w:r>
            <w:r w:rsidR="00B42906" w:rsidRPr="00B42906">
              <w:t xml:space="preserve"> and number of research doctoral degrees awarded</w:t>
            </w:r>
            <w:r w:rsidR="0068367F">
              <w:t>.</w:t>
            </w:r>
          </w:p>
          <w:p w14:paraId="2A8944B3" w14:textId="77777777" w:rsidR="008423E4" w:rsidRPr="00E26B13" w:rsidRDefault="008423E4" w:rsidP="00825158">
            <w:pPr>
              <w:rPr>
                <w:b/>
              </w:rPr>
            </w:pPr>
          </w:p>
        </w:tc>
      </w:tr>
      <w:tr w:rsidR="005D330F" w14:paraId="01ADCF14" w14:textId="77777777" w:rsidTr="00345119">
        <w:tc>
          <w:tcPr>
            <w:tcW w:w="9576" w:type="dxa"/>
          </w:tcPr>
          <w:p w14:paraId="552E156A" w14:textId="77777777" w:rsidR="0017725B" w:rsidRDefault="00C21B65" w:rsidP="00825158">
            <w:pPr>
              <w:rPr>
                <w:b/>
                <w:u w:val="single"/>
              </w:rPr>
            </w:pPr>
            <w:r>
              <w:rPr>
                <w:b/>
                <w:u w:val="single"/>
              </w:rPr>
              <w:t>CRIMINAL JUSTICE IMPACT</w:t>
            </w:r>
          </w:p>
          <w:p w14:paraId="63F8667C" w14:textId="77777777" w:rsidR="0017725B" w:rsidRDefault="0017725B" w:rsidP="00825158">
            <w:pPr>
              <w:rPr>
                <w:b/>
                <w:u w:val="single"/>
              </w:rPr>
            </w:pPr>
          </w:p>
          <w:p w14:paraId="6FDC87E5" w14:textId="7A5643D0" w:rsidR="001B4226" w:rsidRPr="001B4226" w:rsidRDefault="00C21B65" w:rsidP="00825158">
            <w:pPr>
              <w:jc w:val="both"/>
            </w:pPr>
            <w:r>
              <w:t>It is the committee's opinion that this bill does not expressly create a criminal offense, increase the punishment for an existing c</w:t>
            </w:r>
            <w:r>
              <w:t>riminal offense or category of offenses, or change the eligibility of a person for community supervision, parole, or mandatory supervision.</w:t>
            </w:r>
          </w:p>
          <w:p w14:paraId="20B6036A" w14:textId="77777777" w:rsidR="0017725B" w:rsidRPr="0017725B" w:rsidRDefault="0017725B" w:rsidP="00825158">
            <w:pPr>
              <w:rPr>
                <w:b/>
                <w:u w:val="single"/>
              </w:rPr>
            </w:pPr>
          </w:p>
        </w:tc>
      </w:tr>
      <w:tr w:rsidR="005D330F" w14:paraId="63DE2FFA" w14:textId="77777777" w:rsidTr="00345119">
        <w:tc>
          <w:tcPr>
            <w:tcW w:w="9576" w:type="dxa"/>
          </w:tcPr>
          <w:p w14:paraId="03EDF661" w14:textId="77777777" w:rsidR="008423E4" w:rsidRPr="00A8133F" w:rsidRDefault="00C21B65" w:rsidP="00825158">
            <w:pPr>
              <w:rPr>
                <w:b/>
              </w:rPr>
            </w:pPr>
            <w:r w:rsidRPr="009C1E9A">
              <w:rPr>
                <w:b/>
                <w:u w:val="single"/>
              </w:rPr>
              <w:t>RULEMAKING AUTHORITY</w:t>
            </w:r>
            <w:r>
              <w:rPr>
                <w:b/>
              </w:rPr>
              <w:t xml:space="preserve"> </w:t>
            </w:r>
          </w:p>
          <w:p w14:paraId="5B119EFC" w14:textId="77777777" w:rsidR="008423E4" w:rsidRDefault="008423E4" w:rsidP="00825158"/>
          <w:p w14:paraId="7CF6753D" w14:textId="4C53BFB5" w:rsidR="001B4226" w:rsidRDefault="00C21B65" w:rsidP="00825158">
            <w:pPr>
              <w:pStyle w:val="Header"/>
              <w:tabs>
                <w:tab w:val="clear" w:pos="4320"/>
                <w:tab w:val="clear" w:pos="8640"/>
              </w:tabs>
              <w:jc w:val="both"/>
            </w:pPr>
            <w:r>
              <w:t>It is the committee's opinion that rulemaking authority is expressly granted to</w:t>
            </w:r>
            <w:r w:rsidR="005E75A0">
              <w:t xml:space="preserve"> the</w:t>
            </w:r>
            <w:r>
              <w:t xml:space="preserve"> </w:t>
            </w:r>
            <w:r w:rsidR="00882A49">
              <w:t>comptroller of public accounts in SECTION 14 and</w:t>
            </w:r>
            <w:r w:rsidR="000D3136">
              <w:t xml:space="preserve"> to</w:t>
            </w:r>
            <w:r w:rsidR="00882A49">
              <w:t xml:space="preserve"> </w:t>
            </w:r>
            <w:r>
              <w:t xml:space="preserve">the Texas Higher Education Coordinating Board in SECTIONS </w:t>
            </w:r>
            <w:r w:rsidR="00B42906">
              <w:t xml:space="preserve">15 </w:t>
            </w:r>
            <w:r>
              <w:t xml:space="preserve">and </w:t>
            </w:r>
            <w:r w:rsidR="00B42906">
              <w:t xml:space="preserve">17 </w:t>
            </w:r>
            <w:r>
              <w:t>of this bill.</w:t>
            </w:r>
          </w:p>
          <w:p w14:paraId="6888D19C" w14:textId="77777777" w:rsidR="008423E4" w:rsidRPr="00E21FDC" w:rsidRDefault="008423E4" w:rsidP="00825158">
            <w:pPr>
              <w:rPr>
                <w:b/>
              </w:rPr>
            </w:pPr>
          </w:p>
        </w:tc>
      </w:tr>
      <w:tr w:rsidR="005D330F" w14:paraId="0A3B2596" w14:textId="77777777" w:rsidTr="00345119">
        <w:tc>
          <w:tcPr>
            <w:tcW w:w="9576" w:type="dxa"/>
          </w:tcPr>
          <w:p w14:paraId="5DE36FA5" w14:textId="77777777" w:rsidR="008423E4" w:rsidRPr="00A8133F" w:rsidRDefault="00C21B65" w:rsidP="00825158">
            <w:pPr>
              <w:rPr>
                <w:b/>
              </w:rPr>
            </w:pPr>
            <w:r w:rsidRPr="009C1E9A">
              <w:rPr>
                <w:b/>
                <w:u w:val="single"/>
              </w:rPr>
              <w:t>ANALYSIS</w:t>
            </w:r>
            <w:r>
              <w:rPr>
                <w:b/>
              </w:rPr>
              <w:t xml:space="preserve"> </w:t>
            </w:r>
          </w:p>
          <w:p w14:paraId="793F075F" w14:textId="77777777" w:rsidR="008423E4" w:rsidRDefault="008423E4" w:rsidP="00825158"/>
          <w:p w14:paraId="020AC013" w14:textId="689571A4" w:rsidR="009C36CD" w:rsidRDefault="00C21B65" w:rsidP="00825158">
            <w:pPr>
              <w:pStyle w:val="Header"/>
              <w:tabs>
                <w:tab w:val="clear" w:pos="4320"/>
                <w:tab w:val="clear" w:pos="8640"/>
              </w:tabs>
              <w:jc w:val="both"/>
            </w:pPr>
            <w:r>
              <w:t>C.S.H.B.</w:t>
            </w:r>
            <w:r w:rsidR="001B4226">
              <w:t xml:space="preserve"> 1595 amends the Education Code to set out provisions relating to </w:t>
            </w:r>
            <w:r w:rsidR="001B4226" w:rsidRPr="001B4226">
              <w:t xml:space="preserve">the administration and investment of, and distribution and use of money from, certain constitutional and statutory funds to support </w:t>
            </w:r>
            <w:r w:rsidR="00E049FF">
              <w:t>certain higher education functions</w:t>
            </w:r>
            <w:r w:rsidR="001B4226">
              <w:t>.</w:t>
            </w:r>
          </w:p>
          <w:p w14:paraId="39EF3EFA" w14:textId="2A4FD5C3" w:rsidR="001B4226" w:rsidRDefault="001B4226" w:rsidP="00825158">
            <w:pPr>
              <w:pStyle w:val="Header"/>
              <w:tabs>
                <w:tab w:val="clear" w:pos="4320"/>
                <w:tab w:val="clear" w:pos="8640"/>
              </w:tabs>
              <w:jc w:val="both"/>
            </w:pPr>
          </w:p>
          <w:p w14:paraId="53C8649E" w14:textId="4D466FF7" w:rsidR="001B4226" w:rsidRDefault="00C21B65" w:rsidP="00825158">
            <w:pPr>
              <w:pStyle w:val="Header"/>
              <w:tabs>
                <w:tab w:val="clear" w:pos="4320"/>
                <w:tab w:val="clear" w:pos="8640"/>
              </w:tabs>
              <w:jc w:val="both"/>
              <w:rPr>
                <w:b/>
                <w:bCs/>
              </w:rPr>
            </w:pPr>
            <w:r>
              <w:rPr>
                <w:b/>
                <w:bCs/>
              </w:rPr>
              <w:t>Texas University Fund</w:t>
            </w:r>
          </w:p>
          <w:p w14:paraId="224240AE" w14:textId="7D9BCBBA" w:rsidR="00E049FF" w:rsidRDefault="00E049FF" w:rsidP="00825158">
            <w:pPr>
              <w:pStyle w:val="Header"/>
              <w:tabs>
                <w:tab w:val="clear" w:pos="4320"/>
                <w:tab w:val="clear" w:pos="8640"/>
              </w:tabs>
              <w:jc w:val="both"/>
              <w:rPr>
                <w:b/>
                <w:bCs/>
              </w:rPr>
            </w:pPr>
          </w:p>
          <w:p w14:paraId="5CE39495" w14:textId="35EE51E0" w:rsidR="0058201C" w:rsidRPr="0058201C" w:rsidRDefault="00C21B65" w:rsidP="00825158">
            <w:pPr>
              <w:pStyle w:val="Header"/>
              <w:tabs>
                <w:tab w:val="clear" w:pos="4320"/>
                <w:tab w:val="clear" w:pos="8640"/>
              </w:tabs>
              <w:jc w:val="both"/>
              <w:rPr>
                <w:u w:val="single"/>
              </w:rPr>
            </w:pPr>
            <w:r>
              <w:rPr>
                <w:u w:val="single"/>
              </w:rPr>
              <w:t>Redesignation of National Research University Fund</w:t>
            </w:r>
          </w:p>
          <w:p w14:paraId="0996EA01" w14:textId="77777777" w:rsidR="0058201C" w:rsidRDefault="0058201C" w:rsidP="00825158">
            <w:pPr>
              <w:pStyle w:val="Header"/>
              <w:tabs>
                <w:tab w:val="clear" w:pos="4320"/>
                <w:tab w:val="clear" w:pos="8640"/>
              </w:tabs>
              <w:jc w:val="both"/>
              <w:rPr>
                <w:b/>
                <w:bCs/>
              </w:rPr>
            </w:pPr>
          </w:p>
          <w:p w14:paraId="21231BA6" w14:textId="4ACA17CD" w:rsidR="003343CE" w:rsidRDefault="00C21B65" w:rsidP="00825158">
            <w:pPr>
              <w:pStyle w:val="Header"/>
              <w:jc w:val="both"/>
            </w:pPr>
            <w:r>
              <w:t>C.S.H.B.</w:t>
            </w:r>
            <w:r w:rsidR="00E049FF">
              <w:t xml:space="preserve"> 1595 redesignate</w:t>
            </w:r>
            <w:r w:rsidR="009052FE">
              <w:t>s</w:t>
            </w:r>
            <w:r w:rsidR="00E049FF">
              <w:t xml:space="preserve"> the </w:t>
            </w:r>
            <w:r w:rsidR="0058201C">
              <w:t>National Research University Fund</w:t>
            </w:r>
            <w:r w:rsidR="009F122C">
              <w:t xml:space="preserve"> (NRUF)</w:t>
            </w:r>
            <w:r w:rsidR="00E049FF">
              <w:t>, which had as its purpose providing funding to enable emerging research universities in Texas to achieve national prominence as major research universities</w:t>
            </w:r>
            <w:r w:rsidR="00381CC0">
              <w:t>,</w:t>
            </w:r>
            <w:r w:rsidR="00E049FF">
              <w:t xml:space="preserve"> as the Texas University Fund</w:t>
            </w:r>
            <w:r w:rsidR="009F122C">
              <w:t xml:space="preserve"> (TUF)</w:t>
            </w:r>
            <w:r w:rsidR="00E049FF">
              <w:t xml:space="preserve">, which has as its purpose </w:t>
            </w:r>
            <w:r w:rsidR="00DA492A">
              <w:t xml:space="preserve">providing </w:t>
            </w:r>
            <w:r w:rsidR="00E049FF">
              <w:t xml:space="preserve">funding to enable certain general academic teaching institutions to achieve this national prominence and to drive the state economy. </w:t>
            </w:r>
            <w:r w:rsidR="00EE70A4">
              <w:t xml:space="preserve">The bill establishes that, in provisions governing the </w:t>
            </w:r>
            <w:r w:rsidR="00966C2A">
              <w:t>TUF</w:t>
            </w:r>
            <w:r w:rsidR="00EE70A4">
              <w:t xml:space="preserve">, a reference to the </w:t>
            </w:r>
            <w:r w:rsidR="009F122C">
              <w:t>TUF</w:t>
            </w:r>
            <w:r w:rsidR="00EE70A4">
              <w:t xml:space="preserve"> means the </w:t>
            </w:r>
            <w:r w:rsidR="009F122C">
              <w:t>NRUF</w:t>
            </w:r>
            <w:r w:rsidR="00EE70A4">
              <w:t xml:space="preserve"> but that in other law the </w:t>
            </w:r>
            <w:r w:rsidR="009F122C">
              <w:t>NRUF</w:t>
            </w:r>
            <w:r w:rsidR="006A174A">
              <w:t xml:space="preserve"> </w:t>
            </w:r>
            <w:r w:rsidR="00EE70A4">
              <w:t xml:space="preserve">may be referred to as the </w:t>
            </w:r>
            <w:r w:rsidR="009F122C">
              <w:t>TUF</w:t>
            </w:r>
            <w:r w:rsidR="00EE70A4">
              <w:t>.</w:t>
            </w:r>
          </w:p>
          <w:p w14:paraId="7EB16F3F" w14:textId="5A68D497" w:rsidR="00B66C8E" w:rsidRDefault="00B66C8E" w:rsidP="00825158">
            <w:pPr>
              <w:pStyle w:val="Header"/>
              <w:jc w:val="both"/>
            </w:pPr>
          </w:p>
          <w:p w14:paraId="02B07B8D" w14:textId="23AE9CD6" w:rsidR="00EE70A4" w:rsidRDefault="00C21B65" w:rsidP="00825158">
            <w:pPr>
              <w:pStyle w:val="Header"/>
              <w:jc w:val="both"/>
              <w:rPr>
                <w:u w:val="single"/>
              </w:rPr>
            </w:pPr>
            <w:r>
              <w:rPr>
                <w:u w:val="single"/>
              </w:rPr>
              <w:t>Administration and Investment</w:t>
            </w:r>
          </w:p>
          <w:p w14:paraId="7CC3721D" w14:textId="70FDC176" w:rsidR="00EE70A4" w:rsidRDefault="00EE70A4" w:rsidP="00825158">
            <w:pPr>
              <w:pStyle w:val="Header"/>
              <w:jc w:val="both"/>
              <w:rPr>
                <w:u w:val="single"/>
              </w:rPr>
            </w:pPr>
          </w:p>
          <w:p w14:paraId="10AEA245" w14:textId="25964A4C" w:rsidR="00801045" w:rsidRPr="002978A5" w:rsidRDefault="00C21B65" w:rsidP="00825158">
            <w:pPr>
              <w:pStyle w:val="Header"/>
              <w:jc w:val="both"/>
              <w:rPr>
                <w:highlight w:val="yellow"/>
              </w:rPr>
            </w:pPr>
            <w:r>
              <w:t>C.S.H.B.</w:t>
            </w:r>
            <w:r w:rsidR="00EE70A4">
              <w:t xml:space="preserve"> 1595 transfers administration and investment authority from the comptroller of public accounts to the Texas Treasury Safekeeping Trust Company and </w:t>
            </w:r>
            <w:r>
              <w:t xml:space="preserve">requires the trust company to determine the amount available for distribution from the </w:t>
            </w:r>
            <w:r w:rsidR="009F122C">
              <w:t>TUF</w:t>
            </w:r>
            <w:r>
              <w:t xml:space="preserve"> in accordance with a distribution policy adopted by the comptroller that is designed to </w:t>
            </w:r>
            <w:r w:rsidR="0057351F">
              <w:t>do</w:t>
            </w:r>
            <w:r w:rsidRPr="0057351F">
              <w:t xml:space="preserve"> the fol</w:t>
            </w:r>
            <w:r w:rsidRPr="0057351F">
              <w:t>lowing:</w:t>
            </w:r>
          </w:p>
          <w:p w14:paraId="1693DA81" w14:textId="360479D6" w:rsidR="00801045" w:rsidRDefault="00C21B65" w:rsidP="00825158">
            <w:pPr>
              <w:pStyle w:val="Header"/>
              <w:numPr>
                <w:ilvl w:val="0"/>
                <w:numId w:val="3"/>
              </w:numPr>
              <w:jc w:val="both"/>
            </w:pPr>
            <w:r w:rsidRPr="0057351F">
              <w:t>preserv</w:t>
            </w:r>
            <w:r w:rsidR="0057351F">
              <w:t>e</w:t>
            </w:r>
            <w:r>
              <w:t xml:space="preserve"> the purchasing power of </w:t>
            </w:r>
            <w:r w:rsidR="009F122C">
              <w:t>TUF</w:t>
            </w:r>
            <w:r>
              <w:t xml:space="preserve"> assets over a rolling 10-year period, subject to the liquidity needs of the </w:t>
            </w:r>
            <w:r w:rsidR="009F122C">
              <w:t>TUF</w:t>
            </w:r>
            <w:r>
              <w:t>; and</w:t>
            </w:r>
          </w:p>
          <w:p w14:paraId="62FA6CF1" w14:textId="64C2C827" w:rsidR="00801045" w:rsidRDefault="00C21B65" w:rsidP="00825158">
            <w:pPr>
              <w:pStyle w:val="Header"/>
              <w:numPr>
                <w:ilvl w:val="0"/>
                <w:numId w:val="3"/>
              </w:numPr>
              <w:jc w:val="both"/>
            </w:pPr>
            <w:r w:rsidRPr="0057351F">
              <w:t>provid</w:t>
            </w:r>
            <w:r w:rsidR="0057351F">
              <w:t>e</w:t>
            </w:r>
            <w:r>
              <w:t xml:space="preserve"> a stable and predictable stream of annual distributions.</w:t>
            </w:r>
          </w:p>
          <w:p w14:paraId="51F3C0AE" w14:textId="1F856FF7" w:rsidR="00EE70A4" w:rsidRPr="00EE70A4" w:rsidRDefault="00C21B65" w:rsidP="00825158">
            <w:pPr>
              <w:pStyle w:val="Header"/>
              <w:jc w:val="both"/>
            </w:pPr>
            <w:r>
              <w:t>The bill authorizes the comptroller to solicit gifts and gran</w:t>
            </w:r>
            <w:r>
              <w:t>ts from any source for the TUF.</w:t>
            </w:r>
          </w:p>
          <w:p w14:paraId="2932113A" w14:textId="77777777" w:rsidR="00EE70A4" w:rsidRDefault="00EE70A4" w:rsidP="00825158">
            <w:pPr>
              <w:pStyle w:val="Header"/>
              <w:jc w:val="both"/>
            </w:pPr>
          </w:p>
          <w:p w14:paraId="23646450" w14:textId="464D0A4C" w:rsidR="0058201C" w:rsidRPr="0058201C" w:rsidRDefault="00C21B65" w:rsidP="00825158">
            <w:pPr>
              <w:pStyle w:val="Header"/>
              <w:jc w:val="both"/>
              <w:rPr>
                <w:u w:val="single"/>
              </w:rPr>
            </w:pPr>
            <w:r>
              <w:rPr>
                <w:u w:val="single"/>
              </w:rPr>
              <w:t>Funding Eligibility</w:t>
            </w:r>
          </w:p>
          <w:p w14:paraId="2127D093" w14:textId="77777777" w:rsidR="0058201C" w:rsidRDefault="0058201C" w:rsidP="00825158">
            <w:pPr>
              <w:pStyle w:val="Header"/>
              <w:jc w:val="both"/>
            </w:pPr>
          </w:p>
          <w:p w14:paraId="7ED3B79F" w14:textId="693D97D9" w:rsidR="001308A5" w:rsidRDefault="00C21B65" w:rsidP="00825158">
            <w:pPr>
              <w:pStyle w:val="Header"/>
              <w:jc w:val="both"/>
            </w:pPr>
            <w:r>
              <w:t>C.S.H.B.</w:t>
            </w:r>
            <w:r w:rsidR="00B66C8E">
              <w:t xml:space="preserve"> 1595 </w:t>
            </w:r>
            <w:r>
              <w:t>provides that Texas State University, Texas Tech University, the University of Houston, and the University of North Texas</w:t>
            </w:r>
            <w:r w:rsidR="00EE179D">
              <w:t xml:space="preserve"> are</w:t>
            </w:r>
            <w:r>
              <w:t xml:space="preserve"> eligible to receive funding from the </w:t>
            </w:r>
            <w:r w:rsidR="009F122C">
              <w:t>TUF</w:t>
            </w:r>
            <w:r>
              <w:t xml:space="preserve"> </w:t>
            </w:r>
            <w:r w:rsidR="00B66C8E">
              <w:t>for each state fiscal year</w:t>
            </w:r>
            <w:r w:rsidR="009B438F">
              <w:t xml:space="preserve"> and that</w:t>
            </w:r>
            <w:r>
              <w:t xml:space="preserve"> any other </w:t>
            </w:r>
            <w:r w:rsidR="00E049FF">
              <w:t xml:space="preserve">general academic teaching institution </w:t>
            </w:r>
            <w:r w:rsidR="009B438F">
              <w:t>becomes eligible to receive an initial distribution from the TUF for a state fiscal year if the institution satisfies the following criteria</w:t>
            </w:r>
            <w:r w:rsidR="0003203F">
              <w:t>:</w:t>
            </w:r>
          </w:p>
          <w:p w14:paraId="087A5FC7" w14:textId="413A5409" w:rsidR="001308A5" w:rsidRDefault="00C21B65" w:rsidP="00825158">
            <w:pPr>
              <w:pStyle w:val="Header"/>
              <w:numPr>
                <w:ilvl w:val="0"/>
                <w:numId w:val="3"/>
              </w:numPr>
              <w:jc w:val="both"/>
            </w:pPr>
            <w:r>
              <w:t>is not</w:t>
            </w:r>
            <w:r w:rsidR="003343CE">
              <w:t xml:space="preserve"> entitled to participate in the funding provided </w:t>
            </w:r>
            <w:r w:rsidR="003343CE" w:rsidRPr="00A73A03">
              <w:t>by the Texas Constitution</w:t>
            </w:r>
            <w:r w:rsidR="00882C3D">
              <w:t xml:space="preserve"> to support The Texas A&amp;M University System and The University of Texas System</w:t>
            </w:r>
            <w:r w:rsidR="003343CE">
              <w:t>;</w:t>
            </w:r>
          </w:p>
          <w:p w14:paraId="7578C23A" w14:textId="7F4D8B50" w:rsidR="00661138" w:rsidRDefault="00C21B65" w:rsidP="00825158">
            <w:pPr>
              <w:pStyle w:val="Header"/>
              <w:numPr>
                <w:ilvl w:val="0"/>
                <w:numId w:val="3"/>
              </w:numPr>
              <w:jc w:val="both"/>
            </w:pPr>
            <w:r>
              <w:t xml:space="preserve">spent on average at least the following amount in federal and private research funds per state fiscal year during the preceding three state fiscal years: </w:t>
            </w:r>
          </w:p>
          <w:p w14:paraId="7A01AE2B" w14:textId="4E59BD55" w:rsidR="00661138" w:rsidRDefault="00C21B65" w:rsidP="00825158">
            <w:pPr>
              <w:pStyle w:val="Header"/>
              <w:numPr>
                <w:ilvl w:val="1"/>
                <w:numId w:val="3"/>
              </w:numPr>
              <w:jc w:val="both"/>
            </w:pPr>
            <w:r>
              <w:t xml:space="preserve">for the 2024 </w:t>
            </w:r>
            <w:r w:rsidR="00B42906">
              <w:t xml:space="preserve">state </w:t>
            </w:r>
            <w:r>
              <w:t>fiscal year, $20 million; and</w:t>
            </w:r>
          </w:p>
          <w:p w14:paraId="2D83A401" w14:textId="3CE83AE5" w:rsidR="00661138" w:rsidRDefault="00C21B65" w:rsidP="00825158">
            <w:pPr>
              <w:pStyle w:val="Header"/>
              <w:numPr>
                <w:ilvl w:val="1"/>
                <w:numId w:val="3"/>
              </w:numPr>
              <w:jc w:val="both"/>
            </w:pPr>
            <w:r>
              <w:t>for any</w:t>
            </w:r>
            <w:r w:rsidR="00B42906">
              <w:t xml:space="preserve"> state</w:t>
            </w:r>
            <w:r>
              <w:t xml:space="preserve"> fiscal year thereafter,</w:t>
            </w:r>
            <w:r w:rsidRPr="00162072">
              <w:t xml:space="preserve"> </w:t>
            </w:r>
            <w:r w:rsidRPr="00A73A03">
              <w:t>the minimum</w:t>
            </w:r>
            <w:r w:rsidR="00097E1C" w:rsidRPr="00A73A03">
              <w:t xml:space="preserve"> </w:t>
            </w:r>
            <w:r w:rsidR="00A73A03">
              <w:t xml:space="preserve">required </w:t>
            </w:r>
            <w:r w:rsidR="00097E1C" w:rsidRPr="00A73A03">
              <w:t>expenditure</w:t>
            </w:r>
            <w:r w:rsidRPr="00A73A03">
              <w:t xml:space="preserve"> </w:t>
            </w:r>
            <w:r w:rsidRPr="00162072">
              <w:t xml:space="preserve">for the preceding </w:t>
            </w:r>
            <w:r w:rsidR="000D65C4">
              <w:t xml:space="preserve">state </w:t>
            </w:r>
            <w:r w:rsidRPr="00162072">
              <w:t xml:space="preserve">fiscal year adjusted by the increase, if any, in the rate of inflation during the preceding </w:t>
            </w:r>
            <w:r w:rsidR="00A73A03">
              <w:t xml:space="preserve">state </w:t>
            </w:r>
            <w:r w:rsidRPr="00162072">
              <w:t xml:space="preserve">fiscal year, as determined by </w:t>
            </w:r>
            <w:r>
              <w:t xml:space="preserve">the Texas Higher Education Coordinating </w:t>
            </w:r>
            <w:r>
              <w:t>Board (THECB)</w:t>
            </w:r>
            <w:r w:rsidRPr="00162072">
              <w:t xml:space="preserve"> on the basis of changes in the consumer price index</w:t>
            </w:r>
            <w:r w:rsidR="00943EF5">
              <w:t xml:space="preserve"> (CPI)</w:t>
            </w:r>
            <w:r>
              <w:t>; and</w:t>
            </w:r>
          </w:p>
          <w:p w14:paraId="0142C620" w14:textId="3F0709B9" w:rsidR="003343CE" w:rsidRDefault="00C21B65" w:rsidP="00825158">
            <w:pPr>
              <w:pStyle w:val="Header"/>
              <w:numPr>
                <w:ilvl w:val="0"/>
                <w:numId w:val="3"/>
              </w:numPr>
              <w:jc w:val="both"/>
            </w:pPr>
            <w:r>
              <w:t>awarded on average at least 45 research doctoral degrees per academic year during the preceding three academic years.</w:t>
            </w:r>
          </w:p>
          <w:p w14:paraId="3638102C" w14:textId="69389519" w:rsidR="003343CE" w:rsidRDefault="00C21B65" w:rsidP="00825158">
            <w:pPr>
              <w:pStyle w:val="Header"/>
              <w:tabs>
                <w:tab w:val="clear" w:pos="4320"/>
                <w:tab w:val="clear" w:pos="8640"/>
              </w:tabs>
              <w:jc w:val="both"/>
            </w:pPr>
            <w:r>
              <w:t>The</w:t>
            </w:r>
            <w:r w:rsidR="00B66C8E">
              <w:t xml:space="preserve"> </w:t>
            </w:r>
            <w:r>
              <w:t>extension of</w:t>
            </w:r>
            <w:r w:rsidR="00B66C8E">
              <w:t xml:space="preserve"> eligibility </w:t>
            </w:r>
            <w:r>
              <w:t xml:space="preserve">to </w:t>
            </w:r>
            <w:r w:rsidR="002D750C" w:rsidRPr="00153CC5">
              <w:t>an</w:t>
            </w:r>
            <w:r w:rsidRPr="00153CC5">
              <w:t xml:space="preserve"> additional institution</w:t>
            </w:r>
            <w:r w:rsidR="009B438F">
              <w:t xml:space="preserve"> not expressly named</w:t>
            </w:r>
            <w:r>
              <w:t xml:space="preserve"> </w:t>
            </w:r>
            <w:r w:rsidR="00B66C8E">
              <w:t xml:space="preserve">is contingent on </w:t>
            </w:r>
            <w:r w:rsidR="00B66C8E" w:rsidRPr="00B66C8E">
              <w:t>the legislature appropriat</w:t>
            </w:r>
            <w:r w:rsidR="00B66C8E">
              <w:t>ing</w:t>
            </w:r>
            <w:r w:rsidR="00B66C8E" w:rsidRPr="00B66C8E">
              <w:t xml:space="preserve"> money to the </w:t>
            </w:r>
            <w:r w:rsidR="009F122C">
              <w:t>TUF</w:t>
            </w:r>
            <w:r w:rsidR="00B66C8E" w:rsidRPr="00B66C8E">
              <w:t xml:space="preserve"> in an amount sufficient to ensure that, for the first state fiscal year for which the</w:t>
            </w:r>
            <w:r w:rsidR="003B4305">
              <w:t xml:space="preserve"> </w:t>
            </w:r>
            <w:r w:rsidR="003B4305" w:rsidRPr="00153CC5">
              <w:t>additional</w:t>
            </w:r>
            <w:r w:rsidR="00B66C8E" w:rsidRPr="00153CC5">
              <w:t xml:space="preserve"> institution</w:t>
            </w:r>
            <w:r w:rsidR="00B66C8E" w:rsidRPr="00B66C8E">
              <w:t xml:space="preserve"> would receive </w:t>
            </w:r>
            <w:r w:rsidR="00B66C8E">
              <w:t>a</w:t>
            </w:r>
            <w:r w:rsidR="00B66C8E" w:rsidRPr="00B66C8E">
              <w:t xml:space="preserve"> distribution</w:t>
            </w:r>
            <w:r w:rsidR="00B66C8E">
              <w:t xml:space="preserve"> from the </w:t>
            </w:r>
            <w:r w:rsidR="00966C2A">
              <w:t>TUF</w:t>
            </w:r>
            <w:r w:rsidR="00B66C8E" w:rsidRPr="00B66C8E">
              <w:t>, the market value of each other eligible institution's share of the distribution of money for that</w:t>
            </w:r>
            <w:r w:rsidR="000D65C4">
              <w:t xml:space="preserve"> state</w:t>
            </w:r>
            <w:r w:rsidR="00B66C8E" w:rsidRPr="00B66C8E">
              <w:t xml:space="preserve"> fiscal year is at least the same as the market value of that share for the state fiscal year immediately preceding the state fiscal year in which </w:t>
            </w:r>
            <w:r w:rsidR="00B66C8E" w:rsidRPr="00153CC5">
              <w:t>the additional institution</w:t>
            </w:r>
            <w:r w:rsidR="00B66C8E" w:rsidRPr="00B66C8E">
              <w:t xml:space="preserve"> becomes eligible</w:t>
            </w:r>
            <w:r w:rsidR="00B66C8E">
              <w:t>.</w:t>
            </w:r>
          </w:p>
          <w:p w14:paraId="1D4A9E05" w14:textId="7479F004" w:rsidR="00A81825" w:rsidRDefault="00A81825" w:rsidP="00825158">
            <w:pPr>
              <w:pStyle w:val="Header"/>
              <w:tabs>
                <w:tab w:val="clear" w:pos="4320"/>
                <w:tab w:val="clear" w:pos="8640"/>
              </w:tabs>
              <w:jc w:val="both"/>
            </w:pPr>
          </w:p>
          <w:p w14:paraId="04F9B248" w14:textId="009FE4F3" w:rsidR="00A81825" w:rsidRDefault="00C21B65" w:rsidP="00825158">
            <w:pPr>
              <w:pStyle w:val="Header"/>
              <w:tabs>
                <w:tab w:val="clear" w:pos="4320"/>
                <w:tab w:val="clear" w:pos="8640"/>
              </w:tabs>
              <w:jc w:val="both"/>
            </w:pPr>
            <w:r>
              <w:t>C.S.H.B. 1595 removes eligibility criteria applicable to the NRUF that required designation as an emerging research university</w:t>
            </w:r>
            <w:r w:rsidRPr="00154CC0">
              <w:t xml:space="preserve">, </w:t>
            </w:r>
            <w:r w:rsidR="009865F2">
              <w:t xml:space="preserve">expenditure of </w:t>
            </w:r>
            <w:r w:rsidR="00154CC0" w:rsidRPr="009865F2">
              <w:t xml:space="preserve">at least $45 million </w:t>
            </w:r>
            <w:r w:rsidR="009865F2" w:rsidRPr="002978A5">
              <w:t xml:space="preserve">in </w:t>
            </w:r>
            <w:r w:rsidR="00487AE1" w:rsidRPr="009865F2">
              <w:t>restricted</w:t>
            </w:r>
            <w:r w:rsidR="00154CC0" w:rsidRPr="009865F2">
              <w:t xml:space="preserve"> research </w:t>
            </w:r>
            <w:r w:rsidR="00487AE1" w:rsidRPr="009865F2">
              <w:t>fund</w:t>
            </w:r>
            <w:r w:rsidR="009865F2" w:rsidRPr="002978A5">
              <w:t xml:space="preserve">s </w:t>
            </w:r>
            <w:r w:rsidR="00154CC0" w:rsidRPr="009865F2">
              <w:t xml:space="preserve">in </w:t>
            </w:r>
            <w:r w:rsidR="009865F2" w:rsidRPr="002978A5">
              <w:t xml:space="preserve">each of </w:t>
            </w:r>
            <w:r w:rsidR="00154CC0" w:rsidRPr="009865F2">
              <w:t>the preceding two state fiscal years</w:t>
            </w:r>
            <w:r w:rsidR="008B4FF5">
              <w:t xml:space="preserve">, and satisfaction of at least four of six specified criteria relating to endowment fund value, number of doctor of philosophy degrees awarded, academic achievement, recognition of research capabilities and scholarly attainment, faculty quality, and commitment to high-quality graduate education. </w:t>
            </w:r>
            <w:r w:rsidR="003B53C8" w:rsidRPr="00CF32B1">
              <w:t xml:space="preserve">The bill repeals </w:t>
            </w:r>
            <w:r w:rsidR="00151A76" w:rsidRPr="00CF32B1">
              <w:t xml:space="preserve">certain provisions relating to </w:t>
            </w:r>
            <w:r w:rsidR="00487AE1" w:rsidRPr="00CF32B1">
              <w:t>THECB</w:t>
            </w:r>
            <w:r w:rsidR="00151A76" w:rsidRPr="00CF32B1">
              <w:t xml:space="preserve"> </w:t>
            </w:r>
            <w:r w:rsidR="00CF32B1">
              <w:t xml:space="preserve">verification </w:t>
            </w:r>
            <w:r w:rsidR="00151A76" w:rsidRPr="00CF32B1">
              <w:t>of</w:t>
            </w:r>
            <w:r w:rsidR="004203E4" w:rsidRPr="00CF32B1">
              <w:t xml:space="preserve"> </w:t>
            </w:r>
            <w:r w:rsidR="007B07D6">
              <w:t xml:space="preserve">information submitted </w:t>
            </w:r>
            <w:r w:rsidR="00D05D21">
              <w:t xml:space="preserve">for determining </w:t>
            </w:r>
            <w:r w:rsidR="00E906A0" w:rsidRPr="00CF32B1">
              <w:t>funding eligibility.</w:t>
            </w:r>
          </w:p>
          <w:p w14:paraId="055B28E6" w14:textId="1490DDCE" w:rsidR="00B66C8E" w:rsidRDefault="00B66C8E" w:rsidP="00825158">
            <w:pPr>
              <w:pStyle w:val="Header"/>
              <w:tabs>
                <w:tab w:val="clear" w:pos="4320"/>
                <w:tab w:val="clear" w:pos="8640"/>
              </w:tabs>
              <w:jc w:val="both"/>
            </w:pPr>
          </w:p>
          <w:p w14:paraId="1499D34C" w14:textId="7F3180AD" w:rsidR="0058201C" w:rsidRPr="0058201C" w:rsidRDefault="00C21B65" w:rsidP="00825158">
            <w:pPr>
              <w:pStyle w:val="Header"/>
              <w:tabs>
                <w:tab w:val="clear" w:pos="4320"/>
                <w:tab w:val="clear" w:pos="8640"/>
              </w:tabs>
              <w:jc w:val="both"/>
              <w:rPr>
                <w:u w:val="single"/>
              </w:rPr>
            </w:pPr>
            <w:r>
              <w:rPr>
                <w:u w:val="single"/>
              </w:rPr>
              <w:t>Allocation of Fund</w:t>
            </w:r>
          </w:p>
          <w:p w14:paraId="32CD8C63" w14:textId="77777777" w:rsidR="0058201C" w:rsidRDefault="0058201C" w:rsidP="00825158">
            <w:pPr>
              <w:pStyle w:val="Header"/>
              <w:tabs>
                <w:tab w:val="clear" w:pos="4320"/>
                <w:tab w:val="clear" w:pos="8640"/>
              </w:tabs>
              <w:jc w:val="both"/>
            </w:pPr>
          </w:p>
          <w:p w14:paraId="382DA077" w14:textId="25DC377E" w:rsidR="003343CE" w:rsidRDefault="00C21B65" w:rsidP="00825158">
            <w:pPr>
              <w:pStyle w:val="Header"/>
              <w:tabs>
                <w:tab w:val="clear" w:pos="4320"/>
                <w:tab w:val="clear" w:pos="8640"/>
              </w:tabs>
              <w:jc w:val="both"/>
            </w:pPr>
            <w:r>
              <w:t xml:space="preserve">C.S.H.B. 1595 </w:t>
            </w:r>
            <w:r w:rsidR="003B4305">
              <w:t>does</w:t>
            </w:r>
            <w:r>
              <w:t xml:space="preserve"> the following with respect to the allocation of </w:t>
            </w:r>
            <w:r w:rsidR="003B4305">
              <w:t xml:space="preserve">money in the </w:t>
            </w:r>
            <w:r w:rsidR="009F122C">
              <w:t>TUF</w:t>
            </w:r>
            <w:r w:rsidR="003B4305">
              <w:t>:</w:t>
            </w:r>
          </w:p>
          <w:p w14:paraId="0487870D" w14:textId="25C85DBD" w:rsidR="003B4305" w:rsidRDefault="00C21B65" w:rsidP="00825158">
            <w:pPr>
              <w:pStyle w:val="Header"/>
              <w:numPr>
                <w:ilvl w:val="0"/>
                <w:numId w:val="3"/>
              </w:numPr>
              <w:tabs>
                <w:tab w:val="clear" w:pos="4320"/>
                <w:tab w:val="clear" w:pos="8640"/>
              </w:tabs>
              <w:jc w:val="both"/>
            </w:pPr>
            <w:r>
              <w:t xml:space="preserve">changes the cap on the total </w:t>
            </w:r>
            <w:r w:rsidRPr="003B4305">
              <w:t>amount</w:t>
            </w:r>
            <w:r>
              <w:t xml:space="preserve"> that may be</w:t>
            </w:r>
            <w:r w:rsidRPr="003B4305">
              <w:t xml:space="preserve"> appropriated from the </w:t>
            </w:r>
            <w:r w:rsidR="00966C2A">
              <w:t>TUF</w:t>
            </w:r>
            <w:r w:rsidR="00966C2A" w:rsidRPr="003B4305">
              <w:t xml:space="preserve"> </w:t>
            </w:r>
            <w:r w:rsidRPr="003B4305">
              <w:t xml:space="preserve">for any state fiscal year </w:t>
            </w:r>
            <w:r>
              <w:t xml:space="preserve">from 4.5 percent of </w:t>
            </w:r>
            <w:r w:rsidRPr="003B4305">
              <w:t xml:space="preserve">the average net market value of the </w:t>
            </w:r>
            <w:r w:rsidR="00966C2A">
              <w:t>TUF's</w:t>
            </w:r>
            <w:r w:rsidR="00966C2A" w:rsidRPr="003B4305">
              <w:t xml:space="preserve"> </w:t>
            </w:r>
            <w:r w:rsidRPr="003B4305">
              <w:t>investment assets for the 1</w:t>
            </w:r>
            <w:r w:rsidRPr="003B4305">
              <w:t>2 consecutive state fiscal quarters ending with the last quarter of the preceding state fiscal year</w:t>
            </w:r>
            <w:r w:rsidR="009F122C">
              <w:t xml:space="preserve">, </w:t>
            </w:r>
            <w:r w:rsidR="009F122C" w:rsidRPr="00153CC5">
              <w:t xml:space="preserve">which was the cap for the </w:t>
            </w:r>
            <w:r w:rsidR="009F122C">
              <w:t>N</w:t>
            </w:r>
            <w:r w:rsidR="000D65C4">
              <w:t>RU</w:t>
            </w:r>
            <w:r w:rsidR="009F122C">
              <w:t>F,</w:t>
            </w:r>
            <w:r>
              <w:t xml:space="preserve"> to 7.0 percent of </w:t>
            </w:r>
            <w:r w:rsidR="00B42906">
              <w:t xml:space="preserve">the </w:t>
            </w:r>
            <w:r w:rsidR="000D65C4">
              <w:t xml:space="preserve">average </w:t>
            </w:r>
            <w:r w:rsidR="00B42906">
              <w:t xml:space="preserve">net market </w:t>
            </w:r>
            <w:r>
              <w:t>value</w:t>
            </w:r>
            <w:r w:rsidR="00153CC5">
              <w:t xml:space="preserve"> </w:t>
            </w:r>
            <w:r w:rsidR="00153CC5" w:rsidRPr="00802C87">
              <w:t>of those assets</w:t>
            </w:r>
            <w:r w:rsidR="00661138">
              <w:t xml:space="preserve"> for a period set by comptroller rule</w:t>
            </w:r>
            <w:r>
              <w:t>;</w:t>
            </w:r>
            <w:r w:rsidR="00CD756B">
              <w:t xml:space="preserve"> and</w:t>
            </w:r>
          </w:p>
          <w:p w14:paraId="7FD364FE" w14:textId="12C0D5CF" w:rsidR="003B4305" w:rsidRDefault="00C21B65" w:rsidP="00825158">
            <w:pPr>
              <w:pStyle w:val="Header"/>
              <w:numPr>
                <w:ilvl w:val="0"/>
                <w:numId w:val="3"/>
              </w:numPr>
              <w:tabs>
                <w:tab w:val="clear" w:pos="4320"/>
                <w:tab w:val="clear" w:pos="8640"/>
              </w:tabs>
              <w:jc w:val="both"/>
            </w:pPr>
            <w:r>
              <w:t>removes existing p</w:t>
            </w:r>
            <w:r>
              <w:t xml:space="preserve">rovisions relating to </w:t>
            </w:r>
            <w:r w:rsidR="003B53C8">
              <w:t>the allocation of</w:t>
            </w:r>
            <w:r>
              <w:t xml:space="preserve"> NRUF </w:t>
            </w:r>
            <w:r w:rsidR="003B53C8">
              <w:t xml:space="preserve">funds </w:t>
            </w:r>
            <w:r>
              <w:t xml:space="preserve">and requires that the amount appropriated from the </w:t>
            </w:r>
            <w:r w:rsidR="009F122C">
              <w:t xml:space="preserve">TUF </w:t>
            </w:r>
            <w:r>
              <w:t xml:space="preserve">for distribution in a given state fiscal year be allocated so that 75 percent of the money goes to a permanent endowment for educational and research </w:t>
            </w:r>
            <w:r>
              <w:t>base funding and the remaining 25 percent goes to research performance funding.</w:t>
            </w:r>
          </w:p>
          <w:p w14:paraId="470F6371" w14:textId="3466BAA5" w:rsidR="00F35D64" w:rsidRDefault="00F35D64" w:rsidP="00825158">
            <w:pPr>
              <w:pStyle w:val="Header"/>
              <w:tabs>
                <w:tab w:val="clear" w:pos="4320"/>
                <w:tab w:val="clear" w:pos="8640"/>
              </w:tabs>
              <w:jc w:val="both"/>
            </w:pPr>
          </w:p>
          <w:p w14:paraId="2BC18376" w14:textId="59258154" w:rsidR="00F35D64" w:rsidRDefault="00C21B65" w:rsidP="00825158">
            <w:pPr>
              <w:pStyle w:val="Header"/>
              <w:jc w:val="both"/>
            </w:pPr>
            <w:r>
              <w:t>C.S.H.B.</w:t>
            </w:r>
            <w:r w:rsidR="0058201C">
              <w:t xml:space="preserve"> 1595 provides that, in </w:t>
            </w:r>
            <w:r>
              <w:t xml:space="preserve">each state fiscal year, an eligible institution is entitled to a distribution of a portion of the total amount of the </w:t>
            </w:r>
            <w:r w:rsidR="009F122C">
              <w:t>TUF</w:t>
            </w:r>
            <w:r>
              <w:t xml:space="preserve"> allocated for the per</w:t>
            </w:r>
            <w:r>
              <w:t>manent endowment for education and research base funding for that fiscal year computed as follows:</w:t>
            </w:r>
          </w:p>
          <w:p w14:paraId="1E645980" w14:textId="0EDF5F31" w:rsidR="002C3132" w:rsidRDefault="00C21B65" w:rsidP="00825158">
            <w:pPr>
              <w:pStyle w:val="Header"/>
              <w:numPr>
                <w:ilvl w:val="0"/>
                <w:numId w:val="3"/>
              </w:numPr>
              <w:jc w:val="both"/>
            </w:pPr>
            <w:r>
              <w:t xml:space="preserve">for an institution that spent at least the following amount in federal and private research funds in each of the preceding two state fiscal years, an amount </w:t>
            </w:r>
            <w:r>
              <w:t>computed by dividing two by the sum of the number of institutions entitled to receive a distribution multiplied by two and the number of institutions</w:t>
            </w:r>
            <w:r w:rsidR="002B4B7C">
              <w:t xml:space="preserve"> entitled to a distribution but that did not spend that amount</w:t>
            </w:r>
            <w:r>
              <w:t>:</w:t>
            </w:r>
          </w:p>
          <w:p w14:paraId="20CBA770" w14:textId="1604E367" w:rsidR="00F35D64" w:rsidRDefault="00C21B65" w:rsidP="00825158">
            <w:pPr>
              <w:pStyle w:val="Header"/>
              <w:numPr>
                <w:ilvl w:val="1"/>
                <w:numId w:val="3"/>
              </w:numPr>
              <w:jc w:val="both"/>
            </w:pPr>
            <w:r>
              <w:t>for the 2024 state fiscal year, $45 million</w:t>
            </w:r>
            <w:r>
              <w:t xml:space="preserve">; </w:t>
            </w:r>
            <w:r w:rsidR="002B4B7C">
              <w:t>and</w:t>
            </w:r>
          </w:p>
          <w:p w14:paraId="5494A8A7" w14:textId="2BEC66A3" w:rsidR="002C3132" w:rsidRDefault="00C21B65" w:rsidP="00825158">
            <w:pPr>
              <w:pStyle w:val="Header"/>
              <w:numPr>
                <w:ilvl w:val="1"/>
                <w:numId w:val="3"/>
              </w:numPr>
              <w:jc w:val="both"/>
            </w:pPr>
            <w:r w:rsidRPr="002C3132">
              <w:tab/>
              <w:t xml:space="preserve">for any </w:t>
            </w:r>
            <w:r>
              <w:t xml:space="preserve">state </w:t>
            </w:r>
            <w:r w:rsidRPr="002C3132">
              <w:t xml:space="preserve">fiscal year thereafter, </w:t>
            </w:r>
            <w:r w:rsidRPr="00291914">
              <w:t xml:space="preserve">the </w:t>
            </w:r>
            <w:r w:rsidR="00291914">
              <w:t xml:space="preserve">minimum required expenditure </w:t>
            </w:r>
            <w:r w:rsidRPr="002C3132">
              <w:t xml:space="preserve">for the preceding </w:t>
            </w:r>
            <w:r>
              <w:t xml:space="preserve">state </w:t>
            </w:r>
            <w:r w:rsidRPr="002C3132">
              <w:t xml:space="preserve">fiscal year adjusted by the increase, if any, in the rate of inflation during the preceding fiscal year, as determined by </w:t>
            </w:r>
            <w:r w:rsidR="00291914">
              <w:t xml:space="preserve">the </w:t>
            </w:r>
            <w:r w:rsidRPr="002C3132">
              <w:t xml:space="preserve">THECB on the basis of changes in the </w:t>
            </w:r>
            <w:r w:rsidR="00943EF5">
              <w:t>CPI</w:t>
            </w:r>
            <w:r>
              <w:t>; and</w:t>
            </w:r>
          </w:p>
          <w:p w14:paraId="0922DF45" w14:textId="7B87B2A5" w:rsidR="00F35D64" w:rsidRDefault="00C21B65" w:rsidP="00825158">
            <w:pPr>
              <w:pStyle w:val="Header"/>
              <w:numPr>
                <w:ilvl w:val="0"/>
                <w:numId w:val="3"/>
              </w:numPr>
              <w:jc w:val="both"/>
            </w:pPr>
            <w:r>
              <w:t xml:space="preserve">for </w:t>
            </w:r>
            <w:r w:rsidR="002B4B7C">
              <w:t>all other eligible</w:t>
            </w:r>
            <w:r>
              <w:t xml:space="preserve"> institution</w:t>
            </w:r>
            <w:r w:rsidR="002B4B7C">
              <w:t>s</w:t>
            </w:r>
            <w:r>
              <w:t xml:space="preserve">, half </w:t>
            </w:r>
            <w:r w:rsidR="002B4B7C">
              <w:t xml:space="preserve">of </w:t>
            </w:r>
            <w:r>
              <w:t>th</w:t>
            </w:r>
            <w:r w:rsidR="002B4B7C">
              <w:t>at</w:t>
            </w:r>
            <w:r>
              <w:t xml:space="preserve"> </w:t>
            </w:r>
            <w:r w:rsidR="00D04772">
              <w:t xml:space="preserve">computed </w:t>
            </w:r>
            <w:r>
              <w:t>amount.</w:t>
            </w:r>
          </w:p>
          <w:p w14:paraId="0A1DF5AD" w14:textId="7AF7523F" w:rsidR="00F35D64" w:rsidRDefault="00C21B65" w:rsidP="00825158">
            <w:pPr>
              <w:pStyle w:val="Header"/>
              <w:jc w:val="both"/>
            </w:pPr>
            <w:r>
              <w:t xml:space="preserve">However, an eligible institution </w:t>
            </w:r>
            <w:r w:rsidR="00723C48">
              <w:t xml:space="preserve">that </w:t>
            </w:r>
            <w:r w:rsidR="003B1A7B">
              <w:t>spends the requisite amount in federal and private research funds</w:t>
            </w:r>
            <w:r>
              <w:t xml:space="preserve"> to </w:t>
            </w:r>
            <w:r w:rsidR="003B1A7B">
              <w:t>qualify</w:t>
            </w:r>
            <w:r w:rsidR="006D15E6">
              <w:t xml:space="preserve"> for</w:t>
            </w:r>
            <w:r>
              <w:t xml:space="preserve"> a distribution</w:t>
            </w:r>
            <w:r w:rsidR="00723C48">
              <w:t xml:space="preserve"> from the endowment</w:t>
            </w:r>
            <w:r>
              <w:t xml:space="preserve"> equal to the full amount computed by the formula is entitled to receive </w:t>
            </w:r>
            <w:r w:rsidR="00723C48">
              <w:t xml:space="preserve">such </w:t>
            </w:r>
            <w:r w:rsidR="00C45B60">
              <w:t xml:space="preserve">a </w:t>
            </w:r>
            <w:r w:rsidR="00723C48">
              <w:t xml:space="preserve">distribution </w:t>
            </w:r>
            <w:r>
              <w:t xml:space="preserve">only if in each of state fiscal years </w:t>
            </w:r>
            <w:r w:rsidR="002B4B7C">
              <w:t>2021 and 2022</w:t>
            </w:r>
            <w:r>
              <w:t xml:space="preserve">, the institution spent at least </w:t>
            </w:r>
            <w:r w:rsidR="002B4B7C">
              <w:t>$45 million</w:t>
            </w:r>
            <w:r>
              <w:t xml:space="preserve"> in federal and private research f</w:t>
            </w:r>
            <w:r>
              <w:t xml:space="preserve">unds or the legislature appropriates money to the </w:t>
            </w:r>
            <w:r w:rsidR="00966C2A">
              <w:t xml:space="preserve">TUF </w:t>
            </w:r>
            <w:r>
              <w:t xml:space="preserve">in an amount sufficient to ensure that, for the first state fiscal year for which the institution would receive </w:t>
            </w:r>
            <w:r w:rsidR="00E97B02">
              <w:t>a full</w:t>
            </w:r>
            <w:r w:rsidR="00802C87">
              <w:t xml:space="preserve"> </w:t>
            </w:r>
            <w:r w:rsidRPr="00802C87">
              <w:t>distribution</w:t>
            </w:r>
            <w:r>
              <w:t xml:space="preserve">, the market value of each other eligible institution's share of </w:t>
            </w:r>
            <w:r w:rsidRPr="009865F2">
              <w:t xml:space="preserve">the </w:t>
            </w:r>
            <w:r w:rsidR="009865F2">
              <w:t xml:space="preserve">applicable </w:t>
            </w:r>
            <w:r w:rsidRPr="009865F2">
              <w:t>distribution</w:t>
            </w:r>
            <w:r>
              <w:t xml:space="preserve"> for that fiscal year is at least the same as the market value of that share for the state fiscal year immediately preceding the state fiscal year in which the institution becomes eligible for </w:t>
            </w:r>
            <w:r w:rsidR="00E97B02">
              <w:t>a full</w:t>
            </w:r>
            <w:r w:rsidR="00E97B02" w:rsidRPr="00E97B02">
              <w:t xml:space="preserve"> </w:t>
            </w:r>
            <w:r w:rsidRPr="00E97B02">
              <w:t>distribution</w:t>
            </w:r>
            <w:r>
              <w:t>.</w:t>
            </w:r>
            <w:r w:rsidR="002B4B7C">
              <w:t xml:space="preserve"> An</w:t>
            </w:r>
            <w:r>
              <w:t xml:space="preserve"> eligible instituti</w:t>
            </w:r>
            <w:r>
              <w:t xml:space="preserve">on that becomes eligible to receive </w:t>
            </w:r>
            <w:r w:rsidRPr="00B21184">
              <w:t xml:space="preserve">a distribution </w:t>
            </w:r>
            <w:r w:rsidR="00723C48">
              <w:t>in the full amount computed by the formula</w:t>
            </w:r>
            <w:r>
              <w:t xml:space="preserve"> remains eligible to receive </w:t>
            </w:r>
            <w:r w:rsidR="00723C48">
              <w:t xml:space="preserve">such </w:t>
            </w:r>
            <w:r>
              <w:t>a distribution in each subsequent state fiscal year.</w:t>
            </w:r>
          </w:p>
          <w:p w14:paraId="3A66ACF0" w14:textId="77777777" w:rsidR="00F35D64" w:rsidRDefault="00F35D64" w:rsidP="00825158">
            <w:pPr>
              <w:pStyle w:val="Header"/>
              <w:jc w:val="both"/>
            </w:pPr>
          </w:p>
          <w:p w14:paraId="6413288D" w14:textId="46499E08" w:rsidR="00F35D64" w:rsidRDefault="00C21B65" w:rsidP="00825158">
            <w:pPr>
              <w:pStyle w:val="Header"/>
              <w:jc w:val="both"/>
            </w:pPr>
            <w:r>
              <w:t>C.S.H.B.</w:t>
            </w:r>
            <w:r w:rsidR="0058201C">
              <w:t xml:space="preserve"> 1595 provides that,</w:t>
            </w:r>
            <w:r>
              <w:t xml:space="preserve"> </w:t>
            </w:r>
            <w:r w:rsidR="0058201C">
              <w:t>f</w:t>
            </w:r>
            <w:r>
              <w:t xml:space="preserve">rom 85 percent of the amount allocated </w:t>
            </w:r>
            <w:r w:rsidR="0058201C">
              <w:t xml:space="preserve">from the </w:t>
            </w:r>
            <w:r w:rsidR="00181633">
              <w:t>TUF</w:t>
            </w:r>
            <w:r w:rsidR="0058201C">
              <w:t xml:space="preserve"> </w:t>
            </w:r>
            <w:r>
              <w:t>for research performance funding for a state fiscal year, an eligible institution is entitled to a distribution for that fiscal year in an amount proportionate to the average amount of federal and private research funds the institution spends per st</w:t>
            </w:r>
            <w:r>
              <w:t>ate fiscal year during the preceding three state fiscal years as compared to the average amount of those funds all eligible institutions spend per state fiscal year during that period. From 15 percent of the amount allocated for research performance fundin</w:t>
            </w:r>
            <w:r>
              <w:t>g for a state fiscal year, an eligible institution is entitled to a distribution for that fiscal year in an amount proportionate to the average number of research doctoral degrees the institution awards per academic year during the preceding three academic</w:t>
            </w:r>
            <w:r>
              <w:t xml:space="preserve"> years as compared to the average number of those degrees all eligible institutions award per academic year during that period. The </w:t>
            </w:r>
            <w:r w:rsidR="0058201C">
              <w:t>bill requires</w:t>
            </w:r>
            <w:r w:rsidR="00C77D32">
              <w:t xml:space="preserve"> the</w:t>
            </w:r>
            <w:r w:rsidR="0058201C">
              <w:t xml:space="preserve"> THECB</w:t>
            </w:r>
            <w:r>
              <w:t xml:space="preserve"> by rule </w:t>
            </w:r>
            <w:r w:rsidR="00D04772">
              <w:t>to</w:t>
            </w:r>
            <w:r>
              <w:t xml:space="preserve"> establish a method for determining the amounts to which each eligible institution is entitled.</w:t>
            </w:r>
          </w:p>
          <w:p w14:paraId="79DBFED6" w14:textId="6413E62F" w:rsidR="005E3AD8" w:rsidRDefault="005E3AD8" w:rsidP="00825158">
            <w:pPr>
              <w:pStyle w:val="Header"/>
              <w:jc w:val="both"/>
            </w:pPr>
          </w:p>
          <w:p w14:paraId="6A72923B" w14:textId="06A9FAC3" w:rsidR="005E3AD8" w:rsidRDefault="00C21B65" w:rsidP="00825158">
            <w:pPr>
              <w:pStyle w:val="Header"/>
              <w:jc w:val="both"/>
              <w:rPr>
                <w:u w:val="single"/>
              </w:rPr>
            </w:pPr>
            <w:r>
              <w:rPr>
                <w:u w:val="single"/>
              </w:rPr>
              <w:t>Determination and Report of Amount Distributed</w:t>
            </w:r>
          </w:p>
          <w:p w14:paraId="4205AC55" w14:textId="6EB11A22" w:rsidR="005E3AD8" w:rsidRDefault="005E3AD8" w:rsidP="00825158">
            <w:pPr>
              <w:pStyle w:val="Header"/>
              <w:jc w:val="both"/>
              <w:rPr>
                <w:u w:val="single"/>
              </w:rPr>
            </w:pPr>
          </w:p>
          <w:p w14:paraId="1B4481B7" w14:textId="1140603E" w:rsidR="005E3AD8" w:rsidRDefault="00C21B65" w:rsidP="00825158">
            <w:pPr>
              <w:pStyle w:val="Header"/>
              <w:jc w:val="both"/>
            </w:pPr>
            <w:r>
              <w:t xml:space="preserve">C.S.H.B. 1595 requires the Legislative Budget Board, in consultation with </w:t>
            </w:r>
            <w:r w:rsidR="00C77D32">
              <w:t xml:space="preserve">the </w:t>
            </w:r>
            <w:r>
              <w:t>THECB, to do the following for ea</w:t>
            </w:r>
            <w:r>
              <w:t>ch state fiscal biennium:</w:t>
            </w:r>
          </w:p>
          <w:p w14:paraId="1F9D5411" w14:textId="67B67CD8" w:rsidR="005E3AD8" w:rsidRDefault="00C21B65" w:rsidP="00825158">
            <w:pPr>
              <w:pStyle w:val="Header"/>
              <w:numPr>
                <w:ilvl w:val="0"/>
                <w:numId w:val="3"/>
              </w:numPr>
              <w:jc w:val="both"/>
            </w:pPr>
            <w:r>
              <w:t xml:space="preserve">determine the amount of each distribution from the </w:t>
            </w:r>
            <w:r w:rsidR="00181633">
              <w:t>TUF</w:t>
            </w:r>
            <w:r>
              <w:t xml:space="preserve"> to which each eligible institution is entitled; and</w:t>
            </w:r>
          </w:p>
          <w:p w14:paraId="51FDCCEC" w14:textId="0AB76F46" w:rsidR="005E3AD8" w:rsidRPr="005E3AD8" w:rsidRDefault="00C21B65" w:rsidP="00825158">
            <w:pPr>
              <w:pStyle w:val="Header"/>
              <w:numPr>
                <w:ilvl w:val="0"/>
                <w:numId w:val="3"/>
              </w:numPr>
              <w:jc w:val="both"/>
            </w:pPr>
            <w:r>
              <w:t>report those determinations to the legislature and the comptroller.</w:t>
            </w:r>
          </w:p>
          <w:p w14:paraId="2AB79472" w14:textId="77777777" w:rsidR="005E3AD8" w:rsidRDefault="005E3AD8" w:rsidP="00825158">
            <w:pPr>
              <w:pStyle w:val="Header"/>
              <w:jc w:val="both"/>
            </w:pPr>
          </w:p>
          <w:p w14:paraId="5FC698E0" w14:textId="77777777" w:rsidR="005E3AD8" w:rsidRDefault="00C21B65" w:rsidP="00825158">
            <w:pPr>
              <w:pStyle w:val="Header"/>
              <w:jc w:val="both"/>
              <w:rPr>
                <w:u w:val="single"/>
              </w:rPr>
            </w:pPr>
            <w:r>
              <w:rPr>
                <w:u w:val="single"/>
              </w:rPr>
              <w:t>Use of Allocated Amounts</w:t>
            </w:r>
          </w:p>
          <w:p w14:paraId="60E3C3CE" w14:textId="77777777" w:rsidR="005E3AD8" w:rsidRDefault="005E3AD8" w:rsidP="00825158">
            <w:pPr>
              <w:pStyle w:val="Header"/>
              <w:jc w:val="both"/>
              <w:rPr>
                <w:u w:val="single"/>
              </w:rPr>
            </w:pPr>
          </w:p>
          <w:p w14:paraId="7D93D0A0" w14:textId="38E43C30" w:rsidR="005E3AD8" w:rsidRDefault="00C21B65" w:rsidP="00825158">
            <w:pPr>
              <w:pStyle w:val="Header"/>
              <w:jc w:val="both"/>
            </w:pPr>
            <w:r>
              <w:t>C.S.H.B. 1595 requires an el</w:t>
            </w:r>
            <w:r>
              <w:t xml:space="preserve">igible institution's use of money received from the </w:t>
            </w:r>
            <w:r w:rsidR="00181633">
              <w:t>TUF</w:t>
            </w:r>
            <w:r>
              <w:t xml:space="preserve"> to align with the goals of the state's master plan for higher education. The bill retains as authorize</w:t>
            </w:r>
            <w:r w:rsidR="00D04772">
              <w:t>d use</w:t>
            </w:r>
            <w:r w:rsidR="0046652F">
              <w:t>s</w:t>
            </w:r>
            <w:r>
              <w:t xml:space="preserve"> of the money allocated from the </w:t>
            </w:r>
            <w:r w:rsidR="00181633">
              <w:t xml:space="preserve">TUF </w:t>
            </w:r>
            <w:r>
              <w:t xml:space="preserve">all uses previously authorized for </w:t>
            </w:r>
            <w:r w:rsidRPr="00A33413">
              <w:t xml:space="preserve">the </w:t>
            </w:r>
            <w:r w:rsidR="00181633">
              <w:t>N</w:t>
            </w:r>
            <w:r w:rsidR="0046652F">
              <w:t>RU</w:t>
            </w:r>
            <w:r w:rsidR="00181633">
              <w:t>F</w:t>
            </w:r>
            <w:r w:rsidR="002D750C">
              <w:t xml:space="preserve"> </w:t>
            </w:r>
            <w:r>
              <w:t>but also ex</w:t>
            </w:r>
            <w:r>
              <w:t>pands the authorized uses to include increasing technology transfer, commercialization, and patent development and increasing the number of research doctoral graduates in Texas.</w:t>
            </w:r>
          </w:p>
          <w:p w14:paraId="253D322A" w14:textId="77777777" w:rsidR="005E3AD8" w:rsidRDefault="005E3AD8" w:rsidP="00825158">
            <w:pPr>
              <w:pStyle w:val="Header"/>
              <w:jc w:val="both"/>
            </w:pPr>
          </w:p>
          <w:p w14:paraId="4203D6F1" w14:textId="3F777095" w:rsidR="005E3AD8" w:rsidRDefault="00C21B65" w:rsidP="00825158">
            <w:pPr>
              <w:pStyle w:val="Header"/>
              <w:jc w:val="both"/>
              <w:rPr>
                <w:u w:val="single"/>
              </w:rPr>
            </w:pPr>
            <w:r>
              <w:rPr>
                <w:u w:val="single"/>
              </w:rPr>
              <w:t>Institutional Endowment Reporting</w:t>
            </w:r>
          </w:p>
          <w:p w14:paraId="6426E2FC" w14:textId="42DEDC1A" w:rsidR="005E3AD8" w:rsidRDefault="005E3AD8" w:rsidP="00825158">
            <w:pPr>
              <w:pStyle w:val="Header"/>
              <w:jc w:val="both"/>
              <w:rPr>
                <w:u w:val="single"/>
              </w:rPr>
            </w:pPr>
          </w:p>
          <w:p w14:paraId="7AAEA344" w14:textId="42EA7DD5" w:rsidR="005E3AD8" w:rsidRDefault="00C21B65" w:rsidP="00825158">
            <w:pPr>
              <w:pStyle w:val="Header"/>
              <w:jc w:val="both"/>
            </w:pPr>
            <w:r>
              <w:t xml:space="preserve">C.S.H.B. 1595 authorizes each </w:t>
            </w:r>
            <w:r w:rsidRPr="005E3AD8">
              <w:t>eligible ins</w:t>
            </w:r>
            <w:r w:rsidRPr="005E3AD8">
              <w:t>titution</w:t>
            </w:r>
            <w:r>
              <w:t>, f</w:t>
            </w:r>
            <w:r w:rsidRPr="005E3AD8">
              <w:t xml:space="preserve">or purposes of reporting the amount of </w:t>
            </w:r>
            <w:r>
              <w:t>its</w:t>
            </w:r>
            <w:r w:rsidRPr="005E3AD8">
              <w:t xml:space="preserve"> institutional endowment funds</w:t>
            </w:r>
            <w:r>
              <w:t>,</w:t>
            </w:r>
            <w:r w:rsidRPr="005E3AD8">
              <w:t xml:space="preserve"> </w:t>
            </w:r>
            <w:r>
              <w:t>to</w:t>
            </w:r>
            <w:r w:rsidRPr="005E3AD8">
              <w:t xml:space="preserve"> include as a true endowment, in accordance with </w:t>
            </w:r>
            <w:r>
              <w:t>THECB</w:t>
            </w:r>
            <w:r w:rsidRPr="005E3AD8">
              <w:t xml:space="preserve"> rule, the institution's share of </w:t>
            </w:r>
            <w:r w:rsidRPr="00A33413">
              <w:t>the</w:t>
            </w:r>
            <w:r w:rsidR="004E3C83" w:rsidRPr="00A33413">
              <w:t xml:space="preserve"> </w:t>
            </w:r>
            <w:r w:rsidR="00181633" w:rsidRPr="00A33413">
              <w:t>TUF</w:t>
            </w:r>
            <w:r w:rsidRPr="00A33413">
              <w:t xml:space="preserve"> market value</w:t>
            </w:r>
            <w:r w:rsidRPr="005E3AD8">
              <w:t xml:space="preserve"> corresponding to the share of the permanent endowment for ed</w:t>
            </w:r>
            <w:r w:rsidRPr="005E3AD8">
              <w:t>ucation and research base funding to which the institution is entitled for a state fiscal year</w:t>
            </w:r>
            <w:r>
              <w:t>.</w:t>
            </w:r>
          </w:p>
          <w:p w14:paraId="3E85A51D" w14:textId="281C233A" w:rsidR="005E3AD8" w:rsidRDefault="005E3AD8" w:rsidP="00825158">
            <w:pPr>
              <w:pStyle w:val="Header"/>
              <w:jc w:val="both"/>
            </w:pPr>
          </w:p>
          <w:p w14:paraId="5A802BCE" w14:textId="3F45FFD3" w:rsidR="005E3AD8" w:rsidRDefault="00C21B65" w:rsidP="00825158">
            <w:pPr>
              <w:pStyle w:val="Header"/>
              <w:jc w:val="both"/>
              <w:rPr>
                <w:u w:val="single"/>
              </w:rPr>
            </w:pPr>
            <w:r>
              <w:rPr>
                <w:u w:val="single"/>
              </w:rPr>
              <w:t>Rulemaking</w:t>
            </w:r>
          </w:p>
          <w:p w14:paraId="7B742348" w14:textId="317A74FF" w:rsidR="005E3AD8" w:rsidRDefault="005E3AD8" w:rsidP="00825158">
            <w:pPr>
              <w:pStyle w:val="Header"/>
              <w:jc w:val="both"/>
              <w:rPr>
                <w:u w:val="single"/>
              </w:rPr>
            </w:pPr>
          </w:p>
          <w:p w14:paraId="41E72D95" w14:textId="0BE35426" w:rsidR="005E3AD8" w:rsidRDefault="00C21B65" w:rsidP="00825158">
            <w:pPr>
              <w:pStyle w:val="Header"/>
              <w:jc w:val="both"/>
            </w:pPr>
            <w:r>
              <w:t xml:space="preserve">C.S.H.B. 1595 authorizes </w:t>
            </w:r>
            <w:r w:rsidR="00C77D32">
              <w:t xml:space="preserve">the </w:t>
            </w:r>
            <w:r>
              <w:t xml:space="preserve">THECB to adopt rules as necessary to implement state law governing the </w:t>
            </w:r>
            <w:r w:rsidR="00181633">
              <w:t>TUF</w:t>
            </w:r>
            <w:r>
              <w:t>.</w:t>
            </w:r>
          </w:p>
          <w:p w14:paraId="449DE58F" w14:textId="787C7005" w:rsidR="00972478" w:rsidRDefault="00972478" w:rsidP="00825158">
            <w:pPr>
              <w:pStyle w:val="Header"/>
              <w:jc w:val="both"/>
            </w:pPr>
          </w:p>
          <w:p w14:paraId="58E25E2F" w14:textId="2209D291" w:rsidR="00972478" w:rsidRDefault="00C21B65" w:rsidP="00825158">
            <w:pPr>
              <w:pStyle w:val="Header"/>
              <w:jc w:val="both"/>
              <w:rPr>
                <w:b/>
                <w:bCs/>
              </w:rPr>
            </w:pPr>
            <w:r>
              <w:rPr>
                <w:b/>
                <w:bCs/>
              </w:rPr>
              <w:t>Core Research Support Fund</w:t>
            </w:r>
          </w:p>
          <w:p w14:paraId="6DDFCA82" w14:textId="3D68C228" w:rsidR="00972478" w:rsidRDefault="00972478" w:rsidP="00825158">
            <w:pPr>
              <w:pStyle w:val="Header"/>
              <w:jc w:val="both"/>
              <w:rPr>
                <w:b/>
                <w:bCs/>
              </w:rPr>
            </w:pPr>
          </w:p>
          <w:p w14:paraId="76ED45C7" w14:textId="6E29A198" w:rsidR="00972478" w:rsidRDefault="00C21B65" w:rsidP="00825158">
            <w:pPr>
              <w:pStyle w:val="Header"/>
              <w:jc w:val="both"/>
            </w:pPr>
            <w:r>
              <w:t xml:space="preserve">C.S.H.B. 1595 removes provisions establishing a formula for the appropriation of money in the </w:t>
            </w:r>
            <w:r w:rsidR="008C1036">
              <w:t xml:space="preserve">Core Research Support Fund </w:t>
            </w:r>
            <w:r w:rsidR="00181633">
              <w:t xml:space="preserve">(CRSF) </w:t>
            </w:r>
            <w:r>
              <w:t>to eligible institutions in a state fiscal year and requires those amounts to be appropriated instead in the same manner that re</w:t>
            </w:r>
            <w:r>
              <w:t xml:space="preserve">search performance funding is appropriated from the </w:t>
            </w:r>
            <w:r w:rsidR="00C5319C">
              <w:t>T</w:t>
            </w:r>
            <w:r w:rsidR="00181633">
              <w:t>UF</w:t>
            </w:r>
            <w:r>
              <w:t xml:space="preserve">. </w:t>
            </w:r>
            <w:r w:rsidR="00162072">
              <w:t>Moreover, t</w:t>
            </w:r>
            <w:r>
              <w:t xml:space="preserve">he bill </w:t>
            </w:r>
            <w:r w:rsidR="00162072">
              <w:t>revises the</w:t>
            </w:r>
            <w:r>
              <w:t xml:space="preserve"> conditions that an institution must satisfy to qualify for a distribution from the </w:t>
            </w:r>
            <w:r w:rsidR="00181633">
              <w:t>CRSF</w:t>
            </w:r>
            <w:r w:rsidR="00C12516">
              <w:t xml:space="preserve">. </w:t>
            </w:r>
            <w:r w:rsidR="00C5319C">
              <w:t xml:space="preserve">The bill </w:t>
            </w:r>
            <w:r w:rsidR="00162072">
              <w:t>remov</w:t>
            </w:r>
            <w:r w:rsidR="00C5319C">
              <w:t>es</w:t>
            </w:r>
            <w:r w:rsidR="00162072">
              <w:t xml:space="preserve"> </w:t>
            </w:r>
            <w:r>
              <w:t xml:space="preserve">the </w:t>
            </w:r>
            <w:r w:rsidR="00C5319C">
              <w:t xml:space="preserve">only existing </w:t>
            </w:r>
            <w:r>
              <w:t>requirement</w:t>
            </w:r>
            <w:r w:rsidR="00C5319C">
              <w:t>, which is</w:t>
            </w:r>
            <w:r>
              <w:t xml:space="preserve"> that the institution b</w:t>
            </w:r>
            <w:r>
              <w:t xml:space="preserve">e designated as an emerging research university under </w:t>
            </w:r>
            <w:r w:rsidR="00C77D32">
              <w:t xml:space="preserve">the </w:t>
            </w:r>
            <w:r>
              <w:t xml:space="preserve">THECB's accountability system, </w:t>
            </w:r>
            <w:r w:rsidR="00C5319C">
              <w:t>and</w:t>
            </w:r>
            <w:r w:rsidR="00162072">
              <w:t xml:space="preserve"> </w:t>
            </w:r>
            <w:r>
              <w:t xml:space="preserve">requires </w:t>
            </w:r>
            <w:r w:rsidR="00C5319C">
              <w:t xml:space="preserve">instead </w:t>
            </w:r>
            <w:r>
              <w:t>that the institution</w:t>
            </w:r>
            <w:r w:rsidR="00C12516">
              <w:t xml:space="preserve"> not only </w:t>
            </w:r>
            <w:r>
              <w:t xml:space="preserve">be entitled to participate in the funding provided by the Texas Constitution </w:t>
            </w:r>
            <w:r w:rsidR="00B0521F">
              <w:t xml:space="preserve">to support </w:t>
            </w:r>
            <w:r w:rsidR="007903CE">
              <w:t>T</w:t>
            </w:r>
            <w:r w:rsidR="00B0521F">
              <w:t xml:space="preserve">he Texas A&amp;M University System and The University of Texas System </w:t>
            </w:r>
            <w:r w:rsidR="00C12516">
              <w:t>but to also</w:t>
            </w:r>
            <w:r>
              <w:t xml:space="preserve"> have done both of the following:</w:t>
            </w:r>
          </w:p>
          <w:p w14:paraId="24D2D3C3" w14:textId="622C0828" w:rsidR="00162072" w:rsidRDefault="00C21B65" w:rsidP="00825158">
            <w:pPr>
              <w:pStyle w:val="Header"/>
              <w:numPr>
                <w:ilvl w:val="0"/>
                <w:numId w:val="3"/>
              </w:numPr>
              <w:jc w:val="both"/>
            </w:pPr>
            <w:r>
              <w:t>spent on average at least the following amount in federal and private research funds per state fiscal year during the preceding three state fiscal years:</w:t>
            </w:r>
          </w:p>
          <w:p w14:paraId="778BF865" w14:textId="71B2441B" w:rsidR="00972478" w:rsidRDefault="00C21B65" w:rsidP="00825158">
            <w:pPr>
              <w:pStyle w:val="Header"/>
              <w:numPr>
                <w:ilvl w:val="1"/>
                <w:numId w:val="3"/>
              </w:numPr>
              <w:jc w:val="both"/>
            </w:pPr>
            <w:r>
              <w:t>for</w:t>
            </w:r>
            <w:r w:rsidR="00162072">
              <w:t xml:space="preserve"> the 2024 fiscal year</w:t>
            </w:r>
            <w:r>
              <w:t>, $20 million; and</w:t>
            </w:r>
          </w:p>
          <w:p w14:paraId="2AB23811" w14:textId="4D8EB663" w:rsidR="00162072" w:rsidRDefault="00C21B65" w:rsidP="00825158">
            <w:pPr>
              <w:pStyle w:val="Header"/>
              <w:numPr>
                <w:ilvl w:val="1"/>
                <w:numId w:val="3"/>
              </w:numPr>
              <w:jc w:val="both"/>
            </w:pPr>
            <w:r>
              <w:t xml:space="preserve">for any </w:t>
            </w:r>
            <w:r w:rsidR="00B42906">
              <w:t xml:space="preserve">state </w:t>
            </w:r>
            <w:r>
              <w:t>fiscal year thereafter,</w:t>
            </w:r>
            <w:r w:rsidRPr="00162072">
              <w:t xml:space="preserve"> the amount </w:t>
            </w:r>
            <w:r w:rsidR="008E5B3F">
              <w:t xml:space="preserve">required </w:t>
            </w:r>
            <w:r w:rsidRPr="00162072">
              <w:t xml:space="preserve">for the preceding </w:t>
            </w:r>
            <w:r w:rsidR="00B42906">
              <w:t xml:space="preserve">state </w:t>
            </w:r>
            <w:r w:rsidRPr="00162072">
              <w:t>fiscal year adjusted by the increase, if any, in the rate of inflation during the preceding fiscal year, as determined by</w:t>
            </w:r>
            <w:r w:rsidR="00291914">
              <w:t xml:space="preserve"> the</w:t>
            </w:r>
            <w:r w:rsidRPr="00162072">
              <w:t xml:space="preserve"> </w:t>
            </w:r>
            <w:r w:rsidR="008E5B3F">
              <w:t>THECB</w:t>
            </w:r>
            <w:r w:rsidRPr="00162072">
              <w:t xml:space="preserve"> on the basis of c</w:t>
            </w:r>
            <w:r w:rsidRPr="00162072">
              <w:t xml:space="preserve">hanges in the </w:t>
            </w:r>
            <w:r w:rsidR="006F162B">
              <w:t>CPI</w:t>
            </w:r>
            <w:r w:rsidR="002C3132">
              <w:t>; and</w:t>
            </w:r>
          </w:p>
          <w:p w14:paraId="6D69B19B" w14:textId="31124B32" w:rsidR="00972478" w:rsidRDefault="00C21B65" w:rsidP="00825158">
            <w:pPr>
              <w:pStyle w:val="Header"/>
              <w:numPr>
                <w:ilvl w:val="0"/>
                <w:numId w:val="3"/>
              </w:numPr>
              <w:jc w:val="both"/>
            </w:pPr>
            <w:r>
              <w:t>awarded on average at least 45 research doctoral degrees per academic year during the preceding three academic years.</w:t>
            </w:r>
          </w:p>
          <w:p w14:paraId="25DB8A31" w14:textId="3C2C35CA" w:rsidR="008C1036" w:rsidRDefault="008C1036" w:rsidP="00825158">
            <w:pPr>
              <w:pStyle w:val="Header"/>
              <w:jc w:val="both"/>
            </w:pPr>
          </w:p>
          <w:p w14:paraId="0718646C" w14:textId="4741BF9C" w:rsidR="008C1036" w:rsidRPr="008C1036" w:rsidRDefault="00C21B65" w:rsidP="00825158">
            <w:pPr>
              <w:pStyle w:val="Header"/>
              <w:jc w:val="both"/>
              <w:rPr>
                <w:b/>
                <w:bCs/>
              </w:rPr>
            </w:pPr>
            <w:r>
              <w:rPr>
                <w:b/>
                <w:bCs/>
              </w:rPr>
              <w:t>Texas Comprehensive Research Fund</w:t>
            </w:r>
          </w:p>
          <w:p w14:paraId="6DF05881" w14:textId="77777777" w:rsidR="008C1036" w:rsidRDefault="008C1036" w:rsidP="00825158">
            <w:pPr>
              <w:pStyle w:val="Header"/>
              <w:jc w:val="both"/>
            </w:pPr>
          </w:p>
          <w:p w14:paraId="33701E5B" w14:textId="0292E7BE" w:rsidR="008C1036" w:rsidRDefault="00C21B65" w:rsidP="00825158">
            <w:pPr>
              <w:pStyle w:val="Header"/>
              <w:jc w:val="both"/>
            </w:pPr>
            <w:r>
              <w:t>C.S.H.B. 1595 removes provisions establishing a formula for the appropriation o</w:t>
            </w:r>
            <w:r>
              <w:t>f money in the Texas Comprehensive Research Fund</w:t>
            </w:r>
            <w:r w:rsidR="00181633">
              <w:t xml:space="preserve"> (TCRF)</w:t>
            </w:r>
            <w:r>
              <w:t xml:space="preserve"> to eligible institutions in a state fiscal year and requires those amounts to be appropriated instead in the same manner that research performance funding is appropriated from the </w:t>
            </w:r>
            <w:r w:rsidR="00181633">
              <w:t>T</w:t>
            </w:r>
            <w:r>
              <w:t>U</w:t>
            </w:r>
            <w:r w:rsidR="00181633">
              <w:t>F</w:t>
            </w:r>
            <w:r w:rsidR="00A95A33">
              <w:t xml:space="preserve"> </w:t>
            </w:r>
            <w:r w:rsidR="00A95A33" w:rsidRPr="00A33413">
              <w:t>on the basis of the amount spent in federal and private research funds</w:t>
            </w:r>
            <w:r>
              <w:t>.</w:t>
            </w:r>
            <w:r w:rsidR="004A0C2B">
              <w:t xml:space="preserve"> The bill makes an institution</w:t>
            </w:r>
            <w:r w:rsidR="004E3C83">
              <w:t xml:space="preserve"> that is</w:t>
            </w:r>
            <w:r w:rsidR="004A0C2B">
              <w:t xml:space="preserve"> eligible to receive distributions from the </w:t>
            </w:r>
            <w:r w:rsidR="00181633">
              <w:t>TUF</w:t>
            </w:r>
            <w:r w:rsidR="004A0C2B">
              <w:t xml:space="preserve"> ineligible to receive an appropriation from the </w:t>
            </w:r>
            <w:r w:rsidR="00181633">
              <w:t>TCR</w:t>
            </w:r>
            <w:r w:rsidR="004A0C2B">
              <w:t>F.</w:t>
            </w:r>
          </w:p>
          <w:p w14:paraId="64AA203D" w14:textId="6DA3BFCA" w:rsidR="008C1036" w:rsidRDefault="008C1036" w:rsidP="00825158">
            <w:pPr>
              <w:pStyle w:val="Header"/>
              <w:jc w:val="both"/>
            </w:pPr>
          </w:p>
          <w:p w14:paraId="3E019D59" w14:textId="13E46BF5" w:rsidR="008C1036" w:rsidRDefault="00C21B65" w:rsidP="00825158">
            <w:pPr>
              <w:pStyle w:val="Header"/>
              <w:jc w:val="both"/>
              <w:rPr>
                <w:b/>
                <w:bCs/>
              </w:rPr>
            </w:pPr>
            <w:r>
              <w:rPr>
                <w:b/>
                <w:bCs/>
              </w:rPr>
              <w:t>Repealed Provisions</w:t>
            </w:r>
          </w:p>
          <w:p w14:paraId="3D0E5DB6" w14:textId="6B2DE26F" w:rsidR="008C1036" w:rsidRDefault="008C1036" w:rsidP="00825158">
            <w:pPr>
              <w:pStyle w:val="Header"/>
              <w:jc w:val="both"/>
              <w:rPr>
                <w:b/>
                <w:bCs/>
              </w:rPr>
            </w:pPr>
          </w:p>
          <w:p w14:paraId="7393C47A" w14:textId="58D11DF1" w:rsidR="008C1036" w:rsidRDefault="00C21B65" w:rsidP="00825158">
            <w:pPr>
              <w:pStyle w:val="Header"/>
              <w:jc w:val="both"/>
            </w:pPr>
            <w:r>
              <w:t>C.S.H.B. 1595 repeals the foll</w:t>
            </w:r>
            <w:r>
              <w:t>owing provisions of the Education Code:</w:t>
            </w:r>
          </w:p>
          <w:p w14:paraId="2A2C71C8" w14:textId="6D4DB3A0" w:rsidR="008C1036" w:rsidRDefault="00C21B65" w:rsidP="00825158">
            <w:pPr>
              <w:pStyle w:val="Header"/>
              <w:numPr>
                <w:ilvl w:val="0"/>
                <w:numId w:val="3"/>
              </w:numPr>
              <w:jc w:val="both"/>
            </w:pPr>
            <w:r>
              <w:t>Sections 62.096(a), (b), and (e);</w:t>
            </w:r>
          </w:p>
          <w:p w14:paraId="0AF338F3" w14:textId="16815220" w:rsidR="008C1036" w:rsidRDefault="00C21B65" w:rsidP="00825158">
            <w:pPr>
              <w:pStyle w:val="Header"/>
              <w:numPr>
                <w:ilvl w:val="0"/>
                <w:numId w:val="3"/>
              </w:numPr>
              <w:jc w:val="both"/>
            </w:pPr>
            <w:r>
              <w:t>Section 62.135(b);</w:t>
            </w:r>
          </w:p>
          <w:p w14:paraId="374522CC" w14:textId="7A38419B" w:rsidR="008C1036" w:rsidRDefault="00C21B65" w:rsidP="00825158">
            <w:pPr>
              <w:pStyle w:val="Header"/>
              <w:numPr>
                <w:ilvl w:val="0"/>
                <w:numId w:val="3"/>
              </w:numPr>
              <w:jc w:val="both"/>
            </w:pPr>
            <w:r>
              <w:t>Section 62.142(2);</w:t>
            </w:r>
          </w:p>
          <w:p w14:paraId="354F9A16" w14:textId="5B39C90C" w:rsidR="008C1036" w:rsidRDefault="00C21B65" w:rsidP="00825158">
            <w:pPr>
              <w:pStyle w:val="Header"/>
              <w:numPr>
                <w:ilvl w:val="0"/>
                <w:numId w:val="3"/>
              </w:numPr>
              <w:jc w:val="both"/>
            </w:pPr>
            <w:r>
              <w:t>Sections 62.146 and 62.147; and</w:t>
            </w:r>
          </w:p>
          <w:p w14:paraId="5A54BBED" w14:textId="4B086A4E" w:rsidR="008C1036" w:rsidRPr="008C1036" w:rsidRDefault="00C21B65" w:rsidP="00825158">
            <w:pPr>
              <w:pStyle w:val="Header"/>
              <w:numPr>
                <w:ilvl w:val="0"/>
                <w:numId w:val="3"/>
              </w:numPr>
              <w:jc w:val="both"/>
            </w:pPr>
            <w:r>
              <w:t>Sections 62.148(d), (e), and (f).</w:t>
            </w:r>
          </w:p>
          <w:p w14:paraId="7177566A" w14:textId="77777777" w:rsidR="008423E4" w:rsidRPr="00835628" w:rsidRDefault="008423E4" w:rsidP="00825158">
            <w:pPr>
              <w:rPr>
                <w:b/>
              </w:rPr>
            </w:pPr>
          </w:p>
        </w:tc>
      </w:tr>
      <w:tr w:rsidR="005D330F" w14:paraId="0F4FDFF1" w14:textId="77777777" w:rsidTr="00345119">
        <w:tc>
          <w:tcPr>
            <w:tcW w:w="9576" w:type="dxa"/>
          </w:tcPr>
          <w:p w14:paraId="1A1DA677" w14:textId="77777777" w:rsidR="008423E4" w:rsidRPr="00A8133F" w:rsidRDefault="00C21B65" w:rsidP="00825158">
            <w:pPr>
              <w:rPr>
                <w:b/>
              </w:rPr>
            </w:pPr>
            <w:r w:rsidRPr="009C1E9A">
              <w:rPr>
                <w:b/>
                <w:u w:val="single"/>
              </w:rPr>
              <w:t>EFFECTIVE DATE</w:t>
            </w:r>
            <w:r>
              <w:rPr>
                <w:b/>
              </w:rPr>
              <w:t xml:space="preserve"> </w:t>
            </w:r>
          </w:p>
          <w:p w14:paraId="7E87D4D4" w14:textId="77777777" w:rsidR="008423E4" w:rsidRDefault="008423E4" w:rsidP="00825158"/>
          <w:p w14:paraId="3BFCD2A9" w14:textId="5A748ADB" w:rsidR="008423E4" w:rsidRPr="003624F2" w:rsidRDefault="00C21B65" w:rsidP="00825158">
            <w:pPr>
              <w:pStyle w:val="Header"/>
              <w:tabs>
                <w:tab w:val="clear" w:pos="4320"/>
                <w:tab w:val="clear" w:pos="8640"/>
              </w:tabs>
              <w:jc w:val="both"/>
            </w:pPr>
            <w:r>
              <w:t>September 1, 2023.</w:t>
            </w:r>
          </w:p>
          <w:p w14:paraId="6D2A6ACB" w14:textId="77777777" w:rsidR="008423E4" w:rsidRPr="00233FDB" w:rsidRDefault="008423E4" w:rsidP="00825158">
            <w:pPr>
              <w:rPr>
                <w:b/>
              </w:rPr>
            </w:pPr>
          </w:p>
        </w:tc>
      </w:tr>
      <w:tr w:rsidR="005D330F" w14:paraId="56CD4B26" w14:textId="77777777" w:rsidTr="00345119">
        <w:tc>
          <w:tcPr>
            <w:tcW w:w="9576" w:type="dxa"/>
          </w:tcPr>
          <w:p w14:paraId="7052A9CA" w14:textId="77777777" w:rsidR="00E969ED" w:rsidRDefault="00C21B65" w:rsidP="00825158">
            <w:pPr>
              <w:jc w:val="both"/>
              <w:rPr>
                <w:b/>
                <w:u w:val="single"/>
              </w:rPr>
            </w:pPr>
            <w:r>
              <w:rPr>
                <w:b/>
                <w:u w:val="single"/>
              </w:rPr>
              <w:t xml:space="preserve">COMPARISON OF INTRODUCED AND </w:t>
            </w:r>
            <w:r>
              <w:rPr>
                <w:b/>
                <w:u w:val="single"/>
              </w:rPr>
              <w:t>SUBSTITUTE</w:t>
            </w:r>
          </w:p>
          <w:p w14:paraId="42E44E37" w14:textId="77777777" w:rsidR="00BD6E67" w:rsidRDefault="00BD6E67" w:rsidP="00825158">
            <w:pPr>
              <w:jc w:val="both"/>
            </w:pPr>
          </w:p>
          <w:p w14:paraId="55A71F06" w14:textId="47DA401B" w:rsidR="00BD6E67" w:rsidRDefault="00C21B65" w:rsidP="00825158">
            <w:pPr>
              <w:jc w:val="both"/>
            </w:pPr>
            <w:r>
              <w:t>While C.S.H.B. 1595 may differ from the introduced in minor or nonsubstantive ways, the following summarizes the substantial differences between the introduced and committee substitute versions of the bill.</w:t>
            </w:r>
          </w:p>
          <w:p w14:paraId="1ADA36E2" w14:textId="6104CD10" w:rsidR="00A13029" w:rsidRDefault="00A13029" w:rsidP="00825158">
            <w:pPr>
              <w:jc w:val="both"/>
            </w:pPr>
          </w:p>
          <w:p w14:paraId="103BB67B" w14:textId="13B48FD5" w:rsidR="00A13029" w:rsidRDefault="00C21B65" w:rsidP="00825158">
            <w:pPr>
              <w:jc w:val="both"/>
            </w:pPr>
            <w:r>
              <w:t xml:space="preserve">In revising the </w:t>
            </w:r>
            <w:r w:rsidRPr="00A13029">
              <w:t>conditions that an i</w:t>
            </w:r>
            <w:r w:rsidRPr="00A13029">
              <w:t xml:space="preserve">nstitution must satisfy to qualify for a distribution from the </w:t>
            </w:r>
            <w:r w:rsidR="00181633">
              <w:t>CRSF</w:t>
            </w:r>
            <w:r>
              <w:t xml:space="preserve">, the introduced retained the existing condition that the institution be designated as an emerging research university under </w:t>
            </w:r>
            <w:r w:rsidR="00A95A33">
              <w:t xml:space="preserve">the </w:t>
            </w:r>
            <w:r>
              <w:t>THECB's accountability system. The substitute removes this c</w:t>
            </w:r>
            <w:r>
              <w:t>ondition.</w:t>
            </w:r>
          </w:p>
          <w:p w14:paraId="23EA4DB6" w14:textId="71F9FB98" w:rsidR="0033528F" w:rsidRDefault="0033528F" w:rsidP="00825158">
            <w:pPr>
              <w:jc w:val="both"/>
            </w:pPr>
          </w:p>
          <w:p w14:paraId="1E35E1BE" w14:textId="75A6CD2E" w:rsidR="0033528F" w:rsidRDefault="00C21B65" w:rsidP="00825158">
            <w:pPr>
              <w:jc w:val="both"/>
            </w:pPr>
            <w:r>
              <w:t xml:space="preserve">The introduced required the distribution policy for the </w:t>
            </w:r>
            <w:r w:rsidR="00181633">
              <w:t>TUF</w:t>
            </w:r>
            <w:r>
              <w:t xml:space="preserve"> to be designed to preserve the purchasing power of </w:t>
            </w:r>
            <w:r w:rsidR="00966C2A">
              <w:t>TUF</w:t>
            </w:r>
            <w:r>
              <w:t xml:space="preserve"> assets. The substitute revi</w:t>
            </w:r>
            <w:r w:rsidR="00673069">
              <w:t>s</w:t>
            </w:r>
            <w:r>
              <w:t xml:space="preserve">es this requirement to require the policy to be designed to preserve that purchasing power over a rolling 10-year period, subject to the liquidity needs of the </w:t>
            </w:r>
            <w:r w:rsidR="00966C2A">
              <w:t>TUF</w:t>
            </w:r>
            <w:r>
              <w:t>.</w:t>
            </w:r>
          </w:p>
          <w:p w14:paraId="7DE7B73F" w14:textId="22AB5A22" w:rsidR="00226D7C" w:rsidRDefault="00226D7C" w:rsidP="00825158">
            <w:pPr>
              <w:jc w:val="both"/>
            </w:pPr>
          </w:p>
          <w:p w14:paraId="22AD85C6" w14:textId="7D1B22BC" w:rsidR="00226D7C" w:rsidRDefault="00C21B65" w:rsidP="00825158">
            <w:pPr>
              <w:jc w:val="both"/>
            </w:pPr>
            <w:r>
              <w:t xml:space="preserve">Both the introduced and the substitute </w:t>
            </w:r>
            <w:r w:rsidR="00F074C6">
              <w:t>change</w:t>
            </w:r>
            <w:r w:rsidRPr="00226D7C">
              <w:t xml:space="preserve"> the cap on the total amount that may be appr</w:t>
            </w:r>
            <w:r w:rsidRPr="00226D7C">
              <w:t xml:space="preserve">opriated from the </w:t>
            </w:r>
            <w:r w:rsidR="004E3C83" w:rsidRPr="004F2B2F">
              <w:t>newly</w:t>
            </w:r>
            <w:r w:rsidR="001F453B">
              <w:t xml:space="preserve"> </w:t>
            </w:r>
            <w:r w:rsidR="004E3C83" w:rsidRPr="004F2B2F">
              <w:t>redesignated</w:t>
            </w:r>
            <w:r w:rsidR="004E3C83">
              <w:t xml:space="preserve"> </w:t>
            </w:r>
            <w:r w:rsidR="00181633">
              <w:t>TUF</w:t>
            </w:r>
            <w:r w:rsidRPr="00226D7C">
              <w:t xml:space="preserve"> for </w:t>
            </w:r>
            <w:r w:rsidR="004E3C83">
              <w:t>a given</w:t>
            </w:r>
            <w:r w:rsidRPr="00226D7C">
              <w:t xml:space="preserve"> state fiscal year</w:t>
            </w:r>
            <w:r w:rsidR="004E3C83">
              <w:t>.</w:t>
            </w:r>
            <w:r w:rsidRPr="00226D7C">
              <w:t xml:space="preserve"> </w:t>
            </w:r>
            <w:r w:rsidR="00F074C6">
              <w:t>However, whereas t</w:t>
            </w:r>
            <w:r w:rsidR="004E3C83">
              <w:t xml:space="preserve">he introduced increased the cap </w:t>
            </w:r>
            <w:r w:rsidRPr="00226D7C">
              <w:t>from 4.5 percent of the average net market value of the</w:t>
            </w:r>
            <w:r w:rsidR="00673069">
              <w:t xml:space="preserve"> TUF's</w:t>
            </w:r>
            <w:r w:rsidRPr="00226D7C">
              <w:t xml:space="preserve"> investment assets for the 12 consecutive state fiscal quarters ending wi</w:t>
            </w:r>
            <w:r w:rsidRPr="00226D7C">
              <w:t>th the last quarter of the preceding state fiscal year to 7.0 percent of that value</w:t>
            </w:r>
            <w:r w:rsidR="00181633">
              <w:t xml:space="preserve"> for that 12-quarter period</w:t>
            </w:r>
            <w:r w:rsidR="00F074C6">
              <w:t xml:space="preserve">, the substitute changes the cap instead to 7.0 percent of the average net market value of the </w:t>
            </w:r>
            <w:r w:rsidR="00966C2A">
              <w:t>TUF's</w:t>
            </w:r>
            <w:r w:rsidR="00F074C6">
              <w:t xml:space="preserve"> investment assets </w:t>
            </w:r>
            <w:r w:rsidRPr="00226D7C">
              <w:t>for a period set by comptro</w:t>
            </w:r>
            <w:r w:rsidRPr="00226D7C">
              <w:t>ller rule</w:t>
            </w:r>
            <w:r w:rsidR="00F074C6">
              <w:t>.</w:t>
            </w:r>
          </w:p>
          <w:p w14:paraId="3DF10740" w14:textId="57B4E926" w:rsidR="00D33B30" w:rsidRDefault="00D33B30" w:rsidP="00825158">
            <w:pPr>
              <w:jc w:val="both"/>
            </w:pPr>
          </w:p>
          <w:p w14:paraId="52614493" w14:textId="6A341AD5" w:rsidR="00D33B30" w:rsidRDefault="00C21B65" w:rsidP="00825158">
            <w:pPr>
              <w:jc w:val="both"/>
            </w:pPr>
            <w:r>
              <w:t xml:space="preserve">The introduce provided </w:t>
            </w:r>
            <w:r w:rsidR="00181633">
              <w:t>certain fixed</w:t>
            </w:r>
            <w:r>
              <w:t xml:space="preserve"> </w:t>
            </w:r>
            <w:r w:rsidRPr="00673069">
              <w:t xml:space="preserve">research </w:t>
            </w:r>
            <w:r w:rsidR="00673069">
              <w:t>expenditure</w:t>
            </w:r>
            <w:r w:rsidR="00673069" w:rsidRPr="00673069">
              <w:t xml:space="preserve"> </w:t>
            </w:r>
            <w:r w:rsidRPr="00673069">
              <w:t>requirements</w:t>
            </w:r>
            <w:r>
              <w:t xml:space="preserve"> </w:t>
            </w:r>
            <w:r w:rsidR="00102E7A">
              <w:t>to be</w:t>
            </w:r>
            <w:r>
              <w:t xml:space="preserve"> </w:t>
            </w:r>
            <w:r w:rsidR="00102E7A">
              <w:t>eligible</w:t>
            </w:r>
            <w:r>
              <w:t xml:space="preserve"> to receive funding from the </w:t>
            </w:r>
            <w:r w:rsidR="00181633">
              <w:t>CRS</w:t>
            </w:r>
            <w:r>
              <w:t>F</w:t>
            </w:r>
            <w:r w:rsidR="005C1796">
              <w:t>,</w:t>
            </w:r>
            <w:r>
              <w:t xml:space="preserve"> </w:t>
            </w:r>
            <w:r w:rsidR="005C1796" w:rsidRPr="00E97B02">
              <w:t>base funding</w:t>
            </w:r>
            <w:r w:rsidR="005C1796">
              <w:t xml:space="preserve"> from </w:t>
            </w:r>
            <w:r>
              <w:t xml:space="preserve">the </w:t>
            </w:r>
            <w:r w:rsidR="00181633">
              <w:t>TU</w:t>
            </w:r>
            <w:r>
              <w:t xml:space="preserve">F, </w:t>
            </w:r>
            <w:r w:rsidR="005C1796">
              <w:t xml:space="preserve">and </w:t>
            </w:r>
            <w:r w:rsidR="005C1796" w:rsidRPr="00D05D21">
              <w:t>supplemental</w:t>
            </w:r>
            <w:r w:rsidR="00102E7A" w:rsidRPr="00D05D21">
              <w:t xml:space="preserve"> funding</w:t>
            </w:r>
            <w:r w:rsidR="00102E7A">
              <w:t xml:space="preserve"> from the permanent endowment for education and research base funding</w:t>
            </w:r>
            <w:r w:rsidR="005C1796">
              <w:t xml:space="preserve"> within the TUF</w:t>
            </w:r>
            <w:r w:rsidR="00102E7A">
              <w:t xml:space="preserve">. The substitute provides the same </w:t>
            </w:r>
            <w:r w:rsidR="00102E7A" w:rsidRPr="00673069">
              <w:t xml:space="preserve">fixed </w:t>
            </w:r>
            <w:r w:rsidR="00673069">
              <w:t xml:space="preserve">expenditure </w:t>
            </w:r>
            <w:r w:rsidR="00102E7A" w:rsidRPr="00673069">
              <w:t>requirements</w:t>
            </w:r>
            <w:r w:rsidR="00102E7A">
              <w:t xml:space="preserve">, but applicable only for the 2024 state fiscal year. Thereafter, the substitute provides for the </w:t>
            </w:r>
            <w:r w:rsidR="00277793">
              <w:t>upward</w:t>
            </w:r>
            <w:r w:rsidR="00102E7A">
              <w:t xml:space="preserve"> adjustment of </w:t>
            </w:r>
            <w:r w:rsidR="00102E7A" w:rsidRPr="00673069">
              <w:t xml:space="preserve">these </w:t>
            </w:r>
            <w:r w:rsidR="00673069">
              <w:t>expenditure</w:t>
            </w:r>
            <w:r w:rsidR="00673069" w:rsidRPr="00673069">
              <w:t xml:space="preserve"> </w:t>
            </w:r>
            <w:r w:rsidR="00102E7A" w:rsidRPr="00673069">
              <w:t>requirements</w:t>
            </w:r>
            <w:r w:rsidR="00102E7A">
              <w:t xml:space="preserve"> to account for inflation.</w:t>
            </w:r>
          </w:p>
          <w:p w14:paraId="28D161EC" w14:textId="2184D95F" w:rsidR="005C1796" w:rsidRDefault="005C1796" w:rsidP="00825158">
            <w:pPr>
              <w:jc w:val="both"/>
            </w:pPr>
          </w:p>
          <w:p w14:paraId="0093CA16" w14:textId="4E293DD4" w:rsidR="005C1796" w:rsidRDefault="00C21B65" w:rsidP="00825158">
            <w:pPr>
              <w:jc w:val="both"/>
            </w:pPr>
            <w:r>
              <w:t xml:space="preserve">The introduced replaced the existing formula for the appropriation of money in the TCRF with a requirement for those amounts to be appropriated in the same manner that research performance funding is appropriated from the TUF. </w:t>
            </w:r>
            <w:r w:rsidRPr="0086030E">
              <w:t>T</w:t>
            </w:r>
            <w:r w:rsidRPr="0086030E">
              <w:t xml:space="preserve">he substitute </w:t>
            </w:r>
            <w:r w:rsidR="0086030E">
              <w:t>revises this new requirement to specify that it is the manner in which research performance funding is appropriated based</w:t>
            </w:r>
            <w:r w:rsidRPr="0086030E">
              <w:t xml:space="preserve"> </w:t>
            </w:r>
            <w:r w:rsidR="0086030E">
              <w:t>on</w:t>
            </w:r>
            <w:r w:rsidRPr="0086030E">
              <w:t xml:space="preserve"> the amount spent in federal and private research funds.</w:t>
            </w:r>
            <w:r>
              <w:t xml:space="preserve"> </w:t>
            </w:r>
            <w:r w:rsidR="0086030E">
              <w:t>Additionally, t</w:t>
            </w:r>
            <w:r>
              <w:t>he substitute makes an institution that is eli</w:t>
            </w:r>
            <w:r>
              <w:t xml:space="preserve">gible </w:t>
            </w:r>
            <w:r w:rsidRPr="005C1796">
              <w:t>to receive distributions from the TUF ineligible to receive an appropriation from the TCRF</w:t>
            </w:r>
            <w:r w:rsidR="0086030E">
              <w:t>, whereas t</w:t>
            </w:r>
            <w:r w:rsidRPr="0086030E">
              <w:t>he introduced did not do this.</w:t>
            </w:r>
          </w:p>
          <w:p w14:paraId="6809B0B7" w14:textId="075E0E7D" w:rsidR="00BD6E67" w:rsidRPr="00BD6E67" w:rsidRDefault="00BD6E67" w:rsidP="00825158">
            <w:pPr>
              <w:jc w:val="both"/>
            </w:pPr>
          </w:p>
        </w:tc>
      </w:tr>
      <w:tr w:rsidR="005D330F" w14:paraId="0D147393" w14:textId="77777777" w:rsidTr="00345119">
        <w:tc>
          <w:tcPr>
            <w:tcW w:w="9576" w:type="dxa"/>
          </w:tcPr>
          <w:p w14:paraId="5FB3BADC" w14:textId="77777777" w:rsidR="00E969ED" w:rsidRPr="009C1E9A" w:rsidRDefault="00E969ED" w:rsidP="00825158">
            <w:pPr>
              <w:rPr>
                <w:b/>
                <w:u w:val="single"/>
              </w:rPr>
            </w:pPr>
          </w:p>
        </w:tc>
      </w:tr>
      <w:tr w:rsidR="005D330F" w14:paraId="1B22A132" w14:textId="77777777" w:rsidTr="00345119">
        <w:tc>
          <w:tcPr>
            <w:tcW w:w="9576" w:type="dxa"/>
          </w:tcPr>
          <w:p w14:paraId="4A041EE9" w14:textId="77777777" w:rsidR="00E969ED" w:rsidRPr="00E969ED" w:rsidRDefault="00E969ED" w:rsidP="00825158">
            <w:pPr>
              <w:jc w:val="both"/>
            </w:pPr>
          </w:p>
        </w:tc>
      </w:tr>
    </w:tbl>
    <w:p w14:paraId="064ECD23" w14:textId="77777777" w:rsidR="008423E4" w:rsidRPr="00BE0E75" w:rsidRDefault="008423E4" w:rsidP="00825158">
      <w:pPr>
        <w:jc w:val="both"/>
        <w:rPr>
          <w:rFonts w:ascii="Arial" w:hAnsi="Arial"/>
          <w:sz w:val="16"/>
          <w:szCs w:val="16"/>
        </w:rPr>
      </w:pPr>
    </w:p>
    <w:p w14:paraId="18206E1E" w14:textId="77777777" w:rsidR="004108C3" w:rsidRPr="008423E4" w:rsidRDefault="004108C3" w:rsidP="0082515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1E2F" w14:textId="77777777" w:rsidR="00000000" w:rsidRDefault="00C21B65">
      <w:r>
        <w:separator/>
      </w:r>
    </w:p>
  </w:endnote>
  <w:endnote w:type="continuationSeparator" w:id="0">
    <w:p w14:paraId="75A21A50" w14:textId="77777777" w:rsidR="00000000" w:rsidRDefault="00C2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9B2A" w14:textId="77777777" w:rsidR="008E6A6E" w:rsidRDefault="008E6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5D330F" w14:paraId="1A961608" w14:textId="77777777" w:rsidTr="009C1E9A">
      <w:trPr>
        <w:cantSplit/>
      </w:trPr>
      <w:tc>
        <w:tcPr>
          <w:tcW w:w="0" w:type="pct"/>
        </w:tcPr>
        <w:p w14:paraId="0B381200" w14:textId="77777777" w:rsidR="00137D90" w:rsidRDefault="00137D90" w:rsidP="009C1E9A">
          <w:pPr>
            <w:pStyle w:val="Footer"/>
            <w:tabs>
              <w:tab w:val="clear" w:pos="8640"/>
              <w:tab w:val="right" w:pos="9360"/>
            </w:tabs>
          </w:pPr>
        </w:p>
      </w:tc>
      <w:tc>
        <w:tcPr>
          <w:tcW w:w="2395" w:type="pct"/>
        </w:tcPr>
        <w:p w14:paraId="01174FEA" w14:textId="77777777" w:rsidR="00137D90" w:rsidRDefault="00137D90" w:rsidP="009C1E9A">
          <w:pPr>
            <w:pStyle w:val="Footer"/>
            <w:tabs>
              <w:tab w:val="clear" w:pos="8640"/>
              <w:tab w:val="right" w:pos="9360"/>
            </w:tabs>
          </w:pPr>
        </w:p>
        <w:p w14:paraId="7661632D" w14:textId="77777777" w:rsidR="001A4310" w:rsidRDefault="001A4310" w:rsidP="009C1E9A">
          <w:pPr>
            <w:pStyle w:val="Footer"/>
            <w:tabs>
              <w:tab w:val="clear" w:pos="8640"/>
              <w:tab w:val="right" w:pos="9360"/>
            </w:tabs>
          </w:pPr>
        </w:p>
        <w:p w14:paraId="1126A4C5" w14:textId="77777777" w:rsidR="00137D90" w:rsidRDefault="00137D90" w:rsidP="009C1E9A">
          <w:pPr>
            <w:pStyle w:val="Footer"/>
            <w:tabs>
              <w:tab w:val="clear" w:pos="8640"/>
              <w:tab w:val="right" w:pos="9360"/>
            </w:tabs>
          </w:pPr>
        </w:p>
      </w:tc>
      <w:tc>
        <w:tcPr>
          <w:tcW w:w="2453" w:type="pct"/>
        </w:tcPr>
        <w:p w14:paraId="128BDC7B" w14:textId="77777777" w:rsidR="00137D90" w:rsidRDefault="00137D90" w:rsidP="009C1E9A">
          <w:pPr>
            <w:pStyle w:val="Footer"/>
            <w:tabs>
              <w:tab w:val="clear" w:pos="8640"/>
              <w:tab w:val="right" w:pos="9360"/>
            </w:tabs>
            <w:jc w:val="right"/>
          </w:pPr>
        </w:p>
      </w:tc>
    </w:tr>
    <w:tr w:rsidR="005D330F" w14:paraId="1E20B2EB" w14:textId="77777777" w:rsidTr="009C1E9A">
      <w:trPr>
        <w:cantSplit/>
      </w:trPr>
      <w:tc>
        <w:tcPr>
          <w:tcW w:w="0" w:type="pct"/>
        </w:tcPr>
        <w:p w14:paraId="0AD7DEFE" w14:textId="77777777" w:rsidR="00EC379B" w:rsidRDefault="00EC379B" w:rsidP="009C1E9A">
          <w:pPr>
            <w:pStyle w:val="Footer"/>
            <w:tabs>
              <w:tab w:val="clear" w:pos="8640"/>
              <w:tab w:val="right" w:pos="9360"/>
            </w:tabs>
          </w:pPr>
        </w:p>
      </w:tc>
      <w:tc>
        <w:tcPr>
          <w:tcW w:w="2395" w:type="pct"/>
        </w:tcPr>
        <w:p w14:paraId="16925E96" w14:textId="79AC43E1" w:rsidR="00EC379B" w:rsidRPr="009C1E9A" w:rsidRDefault="00C21B65" w:rsidP="009C1E9A">
          <w:pPr>
            <w:pStyle w:val="Footer"/>
            <w:tabs>
              <w:tab w:val="clear" w:pos="8640"/>
              <w:tab w:val="right" w:pos="9360"/>
            </w:tabs>
            <w:rPr>
              <w:rFonts w:ascii="Shruti" w:hAnsi="Shruti"/>
              <w:sz w:val="22"/>
            </w:rPr>
          </w:pPr>
          <w:r>
            <w:rPr>
              <w:rFonts w:ascii="Shruti" w:hAnsi="Shruti"/>
              <w:sz w:val="22"/>
            </w:rPr>
            <w:t>88R 22075-D</w:t>
          </w:r>
        </w:p>
      </w:tc>
      <w:tc>
        <w:tcPr>
          <w:tcW w:w="2453" w:type="pct"/>
        </w:tcPr>
        <w:p w14:paraId="08436FB2" w14:textId="1F35C05D" w:rsidR="00EC379B" w:rsidRDefault="00C21B65" w:rsidP="009C1E9A">
          <w:pPr>
            <w:pStyle w:val="Footer"/>
            <w:tabs>
              <w:tab w:val="clear" w:pos="8640"/>
              <w:tab w:val="right" w:pos="9360"/>
            </w:tabs>
            <w:jc w:val="right"/>
          </w:pPr>
          <w:r>
            <w:fldChar w:fldCharType="begin"/>
          </w:r>
          <w:r>
            <w:instrText xml:space="preserve"> DOCPROPERTY  OTID  \* MERGEFORMAT </w:instrText>
          </w:r>
          <w:r>
            <w:fldChar w:fldCharType="separate"/>
          </w:r>
          <w:r w:rsidR="006223C5">
            <w:t>23.95.1598</w:t>
          </w:r>
          <w:r>
            <w:fldChar w:fldCharType="end"/>
          </w:r>
        </w:p>
      </w:tc>
    </w:tr>
    <w:tr w:rsidR="005D330F" w14:paraId="5275749D" w14:textId="77777777" w:rsidTr="009C1E9A">
      <w:trPr>
        <w:cantSplit/>
      </w:trPr>
      <w:tc>
        <w:tcPr>
          <w:tcW w:w="0" w:type="pct"/>
        </w:tcPr>
        <w:p w14:paraId="677C9E23" w14:textId="77777777" w:rsidR="00EC379B" w:rsidRDefault="00EC379B" w:rsidP="009C1E9A">
          <w:pPr>
            <w:pStyle w:val="Footer"/>
            <w:tabs>
              <w:tab w:val="clear" w:pos="4320"/>
              <w:tab w:val="clear" w:pos="8640"/>
              <w:tab w:val="left" w:pos="2865"/>
            </w:tabs>
          </w:pPr>
        </w:p>
      </w:tc>
      <w:tc>
        <w:tcPr>
          <w:tcW w:w="2395" w:type="pct"/>
        </w:tcPr>
        <w:p w14:paraId="32CB8A78" w14:textId="1A5E6C8A" w:rsidR="00EC379B" w:rsidRPr="009C1E9A" w:rsidRDefault="00C21B65" w:rsidP="009C1E9A">
          <w:pPr>
            <w:pStyle w:val="Footer"/>
            <w:tabs>
              <w:tab w:val="clear" w:pos="4320"/>
              <w:tab w:val="clear" w:pos="8640"/>
              <w:tab w:val="left" w:pos="2865"/>
            </w:tabs>
            <w:rPr>
              <w:rFonts w:ascii="Shruti" w:hAnsi="Shruti"/>
              <w:sz w:val="22"/>
            </w:rPr>
          </w:pPr>
          <w:r>
            <w:rPr>
              <w:rFonts w:ascii="Shruti" w:hAnsi="Shruti"/>
              <w:sz w:val="22"/>
            </w:rPr>
            <w:t>Substitute Document Number: 88R 21752</w:t>
          </w:r>
        </w:p>
      </w:tc>
      <w:tc>
        <w:tcPr>
          <w:tcW w:w="2453" w:type="pct"/>
        </w:tcPr>
        <w:p w14:paraId="458BEAB2" w14:textId="77777777" w:rsidR="00EC379B" w:rsidRDefault="00EC379B" w:rsidP="006D504F">
          <w:pPr>
            <w:pStyle w:val="Footer"/>
            <w:rPr>
              <w:rStyle w:val="PageNumber"/>
            </w:rPr>
          </w:pPr>
        </w:p>
        <w:p w14:paraId="23B784FC" w14:textId="77777777" w:rsidR="00EC379B" w:rsidRDefault="00EC379B" w:rsidP="009C1E9A">
          <w:pPr>
            <w:pStyle w:val="Footer"/>
            <w:tabs>
              <w:tab w:val="clear" w:pos="8640"/>
              <w:tab w:val="right" w:pos="9360"/>
            </w:tabs>
            <w:jc w:val="right"/>
          </w:pPr>
        </w:p>
      </w:tc>
    </w:tr>
    <w:tr w:rsidR="005D330F" w14:paraId="522F1CBF" w14:textId="77777777" w:rsidTr="009C1E9A">
      <w:trPr>
        <w:cantSplit/>
        <w:trHeight w:val="323"/>
      </w:trPr>
      <w:tc>
        <w:tcPr>
          <w:tcW w:w="0" w:type="pct"/>
          <w:gridSpan w:val="3"/>
        </w:tcPr>
        <w:p w14:paraId="7F07864B" w14:textId="77777777" w:rsidR="00EC379B" w:rsidRDefault="00C21B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5EB7F497" w14:textId="77777777" w:rsidR="00EC379B" w:rsidRDefault="00EC379B" w:rsidP="009C1E9A">
          <w:pPr>
            <w:pStyle w:val="Footer"/>
            <w:tabs>
              <w:tab w:val="clear" w:pos="8640"/>
              <w:tab w:val="right" w:pos="9360"/>
            </w:tabs>
            <w:jc w:val="center"/>
          </w:pPr>
        </w:p>
      </w:tc>
    </w:tr>
  </w:tbl>
  <w:p w14:paraId="746EA7B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15D2" w14:textId="77777777" w:rsidR="008E6A6E" w:rsidRDefault="008E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4589" w14:textId="77777777" w:rsidR="00000000" w:rsidRDefault="00C21B65">
      <w:r>
        <w:separator/>
      </w:r>
    </w:p>
  </w:footnote>
  <w:footnote w:type="continuationSeparator" w:id="0">
    <w:p w14:paraId="21F34E53" w14:textId="77777777" w:rsidR="00000000" w:rsidRDefault="00C2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C508" w14:textId="77777777" w:rsidR="008E6A6E" w:rsidRDefault="008E6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4B93" w14:textId="77777777" w:rsidR="008E6A6E" w:rsidRDefault="008E6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EA9B" w14:textId="77777777" w:rsidR="008E6A6E" w:rsidRDefault="008E6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2E2"/>
    <w:multiLevelType w:val="hybridMultilevel"/>
    <w:tmpl w:val="A4D4FFB6"/>
    <w:lvl w:ilvl="0" w:tplc="728A9D9C">
      <w:start w:val="1"/>
      <w:numFmt w:val="decimal"/>
      <w:lvlText w:val="(%1)"/>
      <w:lvlJc w:val="left"/>
      <w:pPr>
        <w:ind w:left="780" w:hanging="420"/>
      </w:pPr>
      <w:rPr>
        <w:rFonts w:hint="default"/>
      </w:rPr>
    </w:lvl>
    <w:lvl w:ilvl="1" w:tplc="00FE4B3E" w:tentative="1">
      <w:start w:val="1"/>
      <w:numFmt w:val="lowerLetter"/>
      <w:lvlText w:val="%2."/>
      <w:lvlJc w:val="left"/>
      <w:pPr>
        <w:ind w:left="1440" w:hanging="360"/>
      </w:pPr>
    </w:lvl>
    <w:lvl w:ilvl="2" w:tplc="ED14D814" w:tentative="1">
      <w:start w:val="1"/>
      <w:numFmt w:val="lowerRoman"/>
      <w:lvlText w:val="%3."/>
      <w:lvlJc w:val="right"/>
      <w:pPr>
        <w:ind w:left="2160" w:hanging="180"/>
      </w:pPr>
    </w:lvl>
    <w:lvl w:ilvl="3" w:tplc="3AD69CE2" w:tentative="1">
      <w:start w:val="1"/>
      <w:numFmt w:val="decimal"/>
      <w:lvlText w:val="%4."/>
      <w:lvlJc w:val="left"/>
      <w:pPr>
        <w:ind w:left="2880" w:hanging="360"/>
      </w:pPr>
    </w:lvl>
    <w:lvl w:ilvl="4" w:tplc="0F5CB126" w:tentative="1">
      <w:start w:val="1"/>
      <w:numFmt w:val="lowerLetter"/>
      <w:lvlText w:val="%5."/>
      <w:lvlJc w:val="left"/>
      <w:pPr>
        <w:ind w:left="3600" w:hanging="360"/>
      </w:pPr>
    </w:lvl>
    <w:lvl w:ilvl="5" w:tplc="71DA478A" w:tentative="1">
      <w:start w:val="1"/>
      <w:numFmt w:val="lowerRoman"/>
      <w:lvlText w:val="%6."/>
      <w:lvlJc w:val="right"/>
      <w:pPr>
        <w:ind w:left="4320" w:hanging="180"/>
      </w:pPr>
    </w:lvl>
    <w:lvl w:ilvl="6" w:tplc="0E6CAF46" w:tentative="1">
      <w:start w:val="1"/>
      <w:numFmt w:val="decimal"/>
      <w:lvlText w:val="%7."/>
      <w:lvlJc w:val="left"/>
      <w:pPr>
        <w:ind w:left="5040" w:hanging="360"/>
      </w:pPr>
    </w:lvl>
    <w:lvl w:ilvl="7" w:tplc="8354A328" w:tentative="1">
      <w:start w:val="1"/>
      <w:numFmt w:val="lowerLetter"/>
      <w:lvlText w:val="%8."/>
      <w:lvlJc w:val="left"/>
      <w:pPr>
        <w:ind w:left="5760" w:hanging="360"/>
      </w:pPr>
    </w:lvl>
    <w:lvl w:ilvl="8" w:tplc="C102E694" w:tentative="1">
      <w:start w:val="1"/>
      <w:numFmt w:val="lowerRoman"/>
      <w:lvlText w:val="%9."/>
      <w:lvlJc w:val="right"/>
      <w:pPr>
        <w:ind w:left="6480" w:hanging="180"/>
      </w:pPr>
    </w:lvl>
  </w:abstractNum>
  <w:abstractNum w:abstractNumId="1" w15:restartNumberingAfterBreak="0">
    <w:nsid w:val="25573D67"/>
    <w:multiLevelType w:val="hybridMultilevel"/>
    <w:tmpl w:val="92DC7AF2"/>
    <w:lvl w:ilvl="0" w:tplc="1C6CCFCA">
      <w:start w:val="1"/>
      <w:numFmt w:val="bullet"/>
      <w:lvlText w:val=""/>
      <w:lvlJc w:val="left"/>
      <w:pPr>
        <w:tabs>
          <w:tab w:val="num" w:pos="720"/>
        </w:tabs>
        <w:ind w:left="720" w:hanging="360"/>
      </w:pPr>
      <w:rPr>
        <w:rFonts w:ascii="Symbol" w:hAnsi="Symbol" w:hint="default"/>
      </w:rPr>
    </w:lvl>
    <w:lvl w:ilvl="1" w:tplc="10B2DCB8" w:tentative="1">
      <w:start w:val="1"/>
      <w:numFmt w:val="bullet"/>
      <w:lvlText w:val="o"/>
      <w:lvlJc w:val="left"/>
      <w:pPr>
        <w:ind w:left="1440" w:hanging="360"/>
      </w:pPr>
      <w:rPr>
        <w:rFonts w:ascii="Courier New" w:hAnsi="Courier New" w:cs="Courier New" w:hint="default"/>
      </w:rPr>
    </w:lvl>
    <w:lvl w:ilvl="2" w:tplc="2C622178" w:tentative="1">
      <w:start w:val="1"/>
      <w:numFmt w:val="bullet"/>
      <w:lvlText w:val=""/>
      <w:lvlJc w:val="left"/>
      <w:pPr>
        <w:ind w:left="2160" w:hanging="360"/>
      </w:pPr>
      <w:rPr>
        <w:rFonts w:ascii="Wingdings" w:hAnsi="Wingdings" w:hint="default"/>
      </w:rPr>
    </w:lvl>
    <w:lvl w:ilvl="3" w:tplc="44C22636" w:tentative="1">
      <w:start w:val="1"/>
      <w:numFmt w:val="bullet"/>
      <w:lvlText w:val=""/>
      <w:lvlJc w:val="left"/>
      <w:pPr>
        <w:ind w:left="2880" w:hanging="360"/>
      </w:pPr>
      <w:rPr>
        <w:rFonts w:ascii="Symbol" w:hAnsi="Symbol" w:hint="default"/>
      </w:rPr>
    </w:lvl>
    <w:lvl w:ilvl="4" w:tplc="6F601DFC" w:tentative="1">
      <w:start w:val="1"/>
      <w:numFmt w:val="bullet"/>
      <w:lvlText w:val="o"/>
      <w:lvlJc w:val="left"/>
      <w:pPr>
        <w:ind w:left="3600" w:hanging="360"/>
      </w:pPr>
      <w:rPr>
        <w:rFonts w:ascii="Courier New" w:hAnsi="Courier New" w:cs="Courier New" w:hint="default"/>
      </w:rPr>
    </w:lvl>
    <w:lvl w:ilvl="5" w:tplc="C8120046" w:tentative="1">
      <w:start w:val="1"/>
      <w:numFmt w:val="bullet"/>
      <w:lvlText w:val=""/>
      <w:lvlJc w:val="left"/>
      <w:pPr>
        <w:ind w:left="4320" w:hanging="360"/>
      </w:pPr>
      <w:rPr>
        <w:rFonts w:ascii="Wingdings" w:hAnsi="Wingdings" w:hint="default"/>
      </w:rPr>
    </w:lvl>
    <w:lvl w:ilvl="6" w:tplc="B600A56E" w:tentative="1">
      <w:start w:val="1"/>
      <w:numFmt w:val="bullet"/>
      <w:lvlText w:val=""/>
      <w:lvlJc w:val="left"/>
      <w:pPr>
        <w:ind w:left="5040" w:hanging="360"/>
      </w:pPr>
      <w:rPr>
        <w:rFonts w:ascii="Symbol" w:hAnsi="Symbol" w:hint="default"/>
      </w:rPr>
    </w:lvl>
    <w:lvl w:ilvl="7" w:tplc="027A7E56" w:tentative="1">
      <w:start w:val="1"/>
      <w:numFmt w:val="bullet"/>
      <w:lvlText w:val="o"/>
      <w:lvlJc w:val="left"/>
      <w:pPr>
        <w:ind w:left="5760" w:hanging="360"/>
      </w:pPr>
      <w:rPr>
        <w:rFonts w:ascii="Courier New" w:hAnsi="Courier New" w:cs="Courier New" w:hint="default"/>
      </w:rPr>
    </w:lvl>
    <w:lvl w:ilvl="8" w:tplc="32869FB4" w:tentative="1">
      <w:start w:val="1"/>
      <w:numFmt w:val="bullet"/>
      <w:lvlText w:val=""/>
      <w:lvlJc w:val="left"/>
      <w:pPr>
        <w:ind w:left="6480" w:hanging="360"/>
      </w:pPr>
      <w:rPr>
        <w:rFonts w:ascii="Wingdings" w:hAnsi="Wingdings" w:hint="default"/>
      </w:rPr>
    </w:lvl>
  </w:abstractNum>
  <w:abstractNum w:abstractNumId="2" w15:restartNumberingAfterBreak="0">
    <w:nsid w:val="2FC8448D"/>
    <w:multiLevelType w:val="hybridMultilevel"/>
    <w:tmpl w:val="182C903C"/>
    <w:lvl w:ilvl="0" w:tplc="12FA4880">
      <w:start w:val="1"/>
      <w:numFmt w:val="bullet"/>
      <w:lvlText w:val=""/>
      <w:lvlJc w:val="left"/>
      <w:pPr>
        <w:tabs>
          <w:tab w:val="num" w:pos="720"/>
        </w:tabs>
        <w:ind w:left="720" w:hanging="360"/>
      </w:pPr>
      <w:rPr>
        <w:rFonts w:ascii="Symbol" w:hAnsi="Symbol" w:hint="default"/>
      </w:rPr>
    </w:lvl>
    <w:lvl w:ilvl="1" w:tplc="E9949B24">
      <w:start w:val="1"/>
      <w:numFmt w:val="bullet"/>
      <w:lvlText w:val="o"/>
      <w:lvlJc w:val="left"/>
      <w:pPr>
        <w:ind w:left="1440" w:hanging="360"/>
      </w:pPr>
      <w:rPr>
        <w:rFonts w:ascii="Courier New" w:hAnsi="Courier New" w:cs="Courier New" w:hint="default"/>
      </w:rPr>
    </w:lvl>
    <w:lvl w:ilvl="2" w:tplc="4A3A2A68" w:tentative="1">
      <w:start w:val="1"/>
      <w:numFmt w:val="bullet"/>
      <w:lvlText w:val=""/>
      <w:lvlJc w:val="left"/>
      <w:pPr>
        <w:ind w:left="2160" w:hanging="360"/>
      </w:pPr>
      <w:rPr>
        <w:rFonts w:ascii="Wingdings" w:hAnsi="Wingdings" w:hint="default"/>
      </w:rPr>
    </w:lvl>
    <w:lvl w:ilvl="3" w:tplc="373C80F8" w:tentative="1">
      <w:start w:val="1"/>
      <w:numFmt w:val="bullet"/>
      <w:lvlText w:val=""/>
      <w:lvlJc w:val="left"/>
      <w:pPr>
        <w:ind w:left="2880" w:hanging="360"/>
      </w:pPr>
      <w:rPr>
        <w:rFonts w:ascii="Symbol" w:hAnsi="Symbol" w:hint="default"/>
      </w:rPr>
    </w:lvl>
    <w:lvl w:ilvl="4" w:tplc="45B809C2" w:tentative="1">
      <w:start w:val="1"/>
      <w:numFmt w:val="bullet"/>
      <w:lvlText w:val="o"/>
      <w:lvlJc w:val="left"/>
      <w:pPr>
        <w:ind w:left="3600" w:hanging="360"/>
      </w:pPr>
      <w:rPr>
        <w:rFonts w:ascii="Courier New" w:hAnsi="Courier New" w:cs="Courier New" w:hint="default"/>
      </w:rPr>
    </w:lvl>
    <w:lvl w:ilvl="5" w:tplc="9F14321E" w:tentative="1">
      <w:start w:val="1"/>
      <w:numFmt w:val="bullet"/>
      <w:lvlText w:val=""/>
      <w:lvlJc w:val="left"/>
      <w:pPr>
        <w:ind w:left="4320" w:hanging="360"/>
      </w:pPr>
      <w:rPr>
        <w:rFonts w:ascii="Wingdings" w:hAnsi="Wingdings" w:hint="default"/>
      </w:rPr>
    </w:lvl>
    <w:lvl w:ilvl="6" w:tplc="1EFE7864" w:tentative="1">
      <w:start w:val="1"/>
      <w:numFmt w:val="bullet"/>
      <w:lvlText w:val=""/>
      <w:lvlJc w:val="left"/>
      <w:pPr>
        <w:ind w:left="5040" w:hanging="360"/>
      </w:pPr>
      <w:rPr>
        <w:rFonts w:ascii="Symbol" w:hAnsi="Symbol" w:hint="default"/>
      </w:rPr>
    </w:lvl>
    <w:lvl w:ilvl="7" w:tplc="05E6A260" w:tentative="1">
      <w:start w:val="1"/>
      <w:numFmt w:val="bullet"/>
      <w:lvlText w:val="o"/>
      <w:lvlJc w:val="left"/>
      <w:pPr>
        <w:ind w:left="5760" w:hanging="360"/>
      </w:pPr>
      <w:rPr>
        <w:rFonts w:ascii="Courier New" w:hAnsi="Courier New" w:cs="Courier New" w:hint="default"/>
      </w:rPr>
    </w:lvl>
    <w:lvl w:ilvl="8" w:tplc="AF0A8CB6" w:tentative="1">
      <w:start w:val="1"/>
      <w:numFmt w:val="bullet"/>
      <w:lvlText w:val=""/>
      <w:lvlJc w:val="left"/>
      <w:pPr>
        <w:ind w:left="6480" w:hanging="360"/>
      </w:pPr>
      <w:rPr>
        <w:rFonts w:ascii="Wingdings" w:hAnsi="Wingdings" w:hint="default"/>
      </w:rPr>
    </w:lvl>
  </w:abstractNum>
  <w:abstractNum w:abstractNumId="3" w15:restartNumberingAfterBreak="0">
    <w:nsid w:val="360228CC"/>
    <w:multiLevelType w:val="hybridMultilevel"/>
    <w:tmpl w:val="8DB83CE6"/>
    <w:lvl w:ilvl="0" w:tplc="F094F866">
      <w:start w:val="1"/>
      <w:numFmt w:val="bullet"/>
      <w:lvlText w:val=""/>
      <w:lvlJc w:val="left"/>
      <w:pPr>
        <w:tabs>
          <w:tab w:val="num" w:pos="720"/>
        </w:tabs>
        <w:ind w:left="720" w:hanging="360"/>
      </w:pPr>
      <w:rPr>
        <w:rFonts w:ascii="Symbol" w:hAnsi="Symbol" w:hint="default"/>
      </w:rPr>
    </w:lvl>
    <w:lvl w:ilvl="1" w:tplc="16285134" w:tentative="1">
      <w:start w:val="1"/>
      <w:numFmt w:val="bullet"/>
      <w:lvlText w:val="o"/>
      <w:lvlJc w:val="left"/>
      <w:pPr>
        <w:ind w:left="1440" w:hanging="360"/>
      </w:pPr>
      <w:rPr>
        <w:rFonts w:ascii="Courier New" w:hAnsi="Courier New" w:cs="Courier New" w:hint="default"/>
      </w:rPr>
    </w:lvl>
    <w:lvl w:ilvl="2" w:tplc="8C56375C" w:tentative="1">
      <w:start w:val="1"/>
      <w:numFmt w:val="bullet"/>
      <w:lvlText w:val=""/>
      <w:lvlJc w:val="left"/>
      <w:pPr>
        <w:ind w:left="2160" w:hanging="360"/>
      </w:pPr>
      <w:rPr>
        <w:rFonts w:ascii="Wingdings" w:hAnsi="Wingdings" w:hint="default"/>
      </w:rPr>
    </w:lvl>
    <w:lvl w:ilvl="3" w:tplc="330E30C4" w:tentative="1">
      <w:start w:val="1"/>
      <w:numFmt w:val="bullet"/>
      <w:lvlText w:val=""/>
      <w:lvlJc w:val="left"/>
      <w:pPr>
        <w:ind w:left="2880" w:hanging="360"/>
      </w:pPr>
      <w:rPr>
        <w:rFonts w:ascii="Symbol" w:hAnsi="Symbol" w:hint="default"/>
      </w:rPr>
    </w:lvl>
    <w:lvl w:ilvl="4" w:tplc="23D89738" w:tentative="1">
      <w:start w:val="1"/>
      <w:numFmt w:val="bullet"/>
      <w:lvlText w:val="o"/>
      <w:lvlJc w:val="left"/>
      <w:pPr>
        <w:ind w:left="3600" w:hanging="360"/>
      </w:pPr>
      <w:rPr>
        <w:rFonts w:ascii="Courier New" w:hAnsi="Courier New" w:cs="Courier New" w:hint="default"/>
      </w:rPr>
    </w:lvl>
    <w:lvl w:ilvl="5" w:tplc="B8368950" w:tentative="1">
      <w:start w:val="1"/>
      <w:numFmt w:val="bullet"/>
      <w:lvlText w:val=""/>
      <w:lvlJc w:val="left"/>
      <w:pPr>
        <w:ind w:left="4320" w:hanging="360"/>
      </w:pPr>
      <w:rPr>
        <w:rFonts w:ascii="Wingdings" w:hAnsi="Wingdings" w:hint="default"/>
      </w:rPr>
    </w:lvl>
    <w:lvl w:ilvl="6" w:tplc="2960927E" w:tentative="1">
      <w:start w:val="1"/>
      <w:numFmt w:val="bullet"/>
      <w:lvlText w:val=""/>
      <w:lvlJc w:val="left"/>
      <w:pPr>
        <w:ind w:left="5040" w:hanging="360"/>
      </w:pPr>
      <w:rPr>
        <w:rFonts w:ascii="Symbol" w:hAnsi="Symbol" w:hint="default"/>
      </w:rPr>
    </w:lvl>
    <w:lvl w:ilvl="7" w:tplc="938CEBBA" w:tentative="1">
      <w:start w:val="1"/>
      <w:numFmt w:val="bullet"/>
      <w:lvlText w:val="o"/>
      <w:lvlJc w:val="left"/>
      <w:pPr>
        <w:ind w:left="5760" w:hanging="360"/>
      </w:pPr>
      <w:rPr>
        <w:rFonts w:ascii="Courier New" w:hAnsi="Courier New" w:cs="Courier New" w:hint="default"/>
      </w:rPr>
    </w:lvl>
    <w:lvl w:ilvl="8" w:tplc="F112BDF4" w:tentative="1">
      <w:start w:val="1"/>
      <w:numFmt w:val="bullet"/>
      <w:lvlText w:val=""/>
      <w:lvlJc w:val="left"/>
      <w:pPr>
        <w:ind w:left="6480" w:hanging="360"/>
      </w:pPr>
      <w:rPr>
        <w:rFonts w:ascii="Wingdings" w:hAnsi="Wingdings" w:hint="default"/>
      </w:rPr>
    </w:lvl>
  </w:abstractNum>
  <w:abstractNum w:abstractNumId="4" w15:restartNumberingAfterBreak="0">
    <w:nsid w:val="516D7E2C"/>
    <w:multiLevelType w:val="hybridMultilevel"/>
    <w:tmpl w:val="2C90FC1A"/>
    <w:lvl w:ilvl="0" w:tplc="BBFA1474">
      <w:start w:val="1"/>
      <w:numFmt w:val="decimal"/>
      <w:lvlText w:val="(%1)"/>
      <w:lvlJc w:val="left"/>
      <w:pPr>
        <w:ind w:left="758" w:hanging="398"/>
      </w:pPr>
      <w:rPr>
        <w:rFonts w:hint="default"/>
      </w:rPr>
    </w:lvl>
    <w:lvl w:ilvl="1" w:tplc="17D47BD6" w:tentative="1">
      <w:start w:val="1"/>
      <w:numFmt w:val="lowerLetter"/>
      <w:lvlText w:val="%2."/>
      <w:lvlJc w:val="left"/>
      <w:pPr>
        <w:ind w:left="1440" w:hanging="360"/>
      </w:pPr>
    </w:lvl>
    <w:lvl w:ilvl="2" w:tplc="24B8315E" w:tentative="1">
      <w:start w:val="1"/>
      <w:numFmt w:val="lowerRoman"/>
      <w:lvlText w:val="%3."/>
      <w:lvlJc w:val="right"/>
      <w:pPr>
        <w:ind w:left="2160" w:hanging="180"/>
      </w:pPr>
    </w:lvl>
    <w:lvl w:ilvl="3" w:tplc="3968D9CC" w:tentative="1">
      <w:start w:val="1"/>
      <w:numFmt w:val="decimal"/>
      <w:lvlText w:val="%4."/>
      <w:lvlJc w:val="left"/>
      <w:pPr>
        <w:ind w:left="2880" w:hanging="360"/>
      </w:pPr>
    </w:lvl>
    <w:lvl w:ilvl="4" w:tplc="E37823CC" w:tentative="1">
      <w:start w:val="1"/>
      <w:numFmt w:val="lowerLetter"/>
      <w:lvlText w:val="%5."/>
      <w:lvlJc w:val="left"/>
      <w:pPr>
        <w:ind w:left="3600" w:hanging="360"/>
      </w:pPr>
    </w:lvl>
    <w:lvl w:ilvl="5" w:tplc="8FEE4502" w:tentative="1">
      <w:start w:val="1"/>
      <w:numFmt w:val="lowerRoman"/>
      <w:lvlText w:val="%6."/>
      <w:lvlJc w:val="right"/>
      <w:pPr>
        <w:ind w:left="4320" w:hanging="180"/>
      </w:pPr>
    </w:lvl>
    <w:lvl w:ilvl="6" w:tplc="C80E4E42" w:tentative="1">
      <w:start w:val="1"/>
      <w:numFmt w:val="decimal"/>
      <w:lvlText w:val="%7."/>
      <w:lvlJc w:val="left"/>
      <w:pPr>
        <w:ind w:left="5040" w:hanging="360"/>
      </w:pPr>
    </w:lvl>
    <w:lvl w:ilvl="7" w:tplc="8CE00CBE" w:tentative="1">
      <w:start w:val="1"/>
      <w:numFmt w:val="lowerLetter"/>
      <w:lvlText w:val="%8."/>
      <w:lvlJc w:val="left"/>
      <w:pPr>
        <w:ind w:left="5760" w:hanging="360"/>
      </w:pPr>
    </w:lvl>
    <w:lvl w:ilvl="8" w:tplc="5600D36C" w:tentative="1">
      <w:start w:val="1"/>
      <w:numFmt w:val="lowerRoman"/>
      <w:lvlText w:val="%9."/>
      <w:lvlJc w:val="right"/>
      <w:pPr>
        <w:ind w:left="6480" w:hanging="180"/>
      </w:pPr>
    </w:lvl>
  </w:abstractNum>
  <w:abstractNum w:abstractNumId="5" w15:restartNumberingAfterBreak="0">
    <w:nsid w:val="578015AF"/>
    <w:multiLevelType w:val="hybridMultilevel"/>
    <w:tmpl w:val="1B16A4EA"/>
    <w:lvl w:ilvl="0" w:tplc="81AAD568">
      <w:start w:val="1"/>
      <w:numFmt w:val="bullet"/>
      <w:lvlText w:val=""/>
      <w:lvlJc w:val="left"/>
      <w:pPr>
        <w:tabs>
          <w:tab w:val="num" w:pos="720"/>
        </w:tabs>
        <w:ind w:left="720" w:hanging="360"/>
      </w:pPr>
      <w:rPr>
        <w:rFonts w:ascii="Symbol" w:hAnsi="Symbol" w:hint="default"/>
      </w:rPr>
    </w:lvl>
    <w:lvl w:ilvl="1" w:tplc="94B0BE8C">
      <w:start w:val="1"/>
      <w:numFmt w:val="bullet"/>
      <w:lvlText w:val="o"/>
      <w:lvlJc w:val="left"/>
      <w:pPr>
        <w:ind w:left="1440" w:hanging="360"/>
      </w:pPr>
      <w:rPr>
        <w:rFonts w:ascii="Courier New" w:hAnsi="Courier New" w:cs="Courier New" w:hint="default"/>
      </w:rPr>
    </w:lvl>
    <w:lvl w:ilvl="2" w:tplc="747E6F92" w:tentative="1">
      <w:start w:val="1"/>
      <w:numFmt w:val="bullet"/>
      <w:lvlText w:val=""/>
      <w:lvlJc w:val="left"/>
      <w:pPr>
        <w:ind w:left="2160" w:hanging="360"/>
      </w:pPr>
      <w:rPr>
        <w:rFonts w:ascii="Wingdings" w:hAnsi="Wingdings" w:hint="default"/>
      </w:rPr>
    </w:lvl>
    <w:lvl w:ilvl="3" w:tplc="B7AE175C" w:tentative="1">
      <w:start w:val="1"/>
      <w:numFmt w:val="bullet"/>
      <w:lvlText w:val=""/>
      <w:lvlJc w:val="left"/>
      <w:pPr>
        <w:ind w:left="2880" w:hanging="360"/>
      </w:pPr>
      <w:rPr>
        <w:rFonts w:ascii="Symbol" w:hAnsi="Symbol" w:hint="default"/>
      </w:rPr>
    </w:lvl>
    <w:lvl w:ilvl="4" w:tplc="803298C6" w:tentative="1">
      <w:start w:val="1"/>
      <w:numFmt w:val="bullet"/>
      <w:lvlText w:val="o"/>
      <w:lvlJc w:val="left"/>
      <w:pPr>
        <w:ind w:left="3600" w:hanging="360"/>
      </w:pPr>
      <w:rPr>
        <w:rFonts w:ascii="Courier New" w:hAnsi="Courier New" w:cs="Courier New" w:hint="default"/>
      </w:rPr>
    </w:lvl>
    <w:lvl w:ilvl="5" w:tplc="483E09F0" w:tentative="1">
      <w:start w:val="1"/>
      <w:numFmt w:val="bullet"/>
      <w:lvlText w:val=""/>
      <w:lvlJc w:val="left"/>
      <w:pPr>
        <w:ind w:left="4320" w:hanging="360"/>
      </w:pPr>
      <w:rPr>
        <w:rFonts w:ascii="Wingdings" w:hAnsi="Wingdings" w:hint="default"/>
      </w:rPr>
    </w:lvl>
    <w:lvl w:ilvl="6" w:tplc="B83445BA" w:tentative="1">
      <w:start w:val="1"/>
      <w:numFmt w:val="bullet"/>
      <w:lvlText w:val=""/>
      <w:lvlJc w:val="left"/>
      <w:pPr>
        <w:ind w:left="5040" w:hanging="360"/>
      </w:pPr>
      <w:rPr>
        <w:rFonts w:ascii="Symbol" w:hAnsi="Symbol" w:hint="default"/>
      </w:rPr>
    </w:lvl>
    <w:lvl w:ilvl="7" w:tplc="5F083DE0" w:tentative="1">
      <w:start w:val="1"/>
      <w:numFmt w:val="bullet"/>
      <w:lvlText w:val="o"/>
      <w:lvlJc w:val="left"/>
      <w:pPr>
        <w:ind w:left="5760" w:hanging="360"/>
      </w:pPr>
      <w:rPr>
        <w:rFonts w:ascii="Courier New" w:hAnsi="Courier New" w:cs="Courier New" w:hint="default"/>
      </w:rPr>
    </w:lvl>
    <w:lvl w:ilvl="8" w:tplc="257C6972" w:tentative="1">
      <w:start w:val="1"/>
      <w:numFmt w:val="bullet"/>
      <w:lvlText w:val=""/>
      <w:lvlJc w:val="left"/>
      <w:pPr>
        <w:ind w:left="6480" w:hanging="360"/>
      </w:pPr>
      <w:rPr>
        <w:rFonts w:ascii="Wingdings" w:hAnsi="Wingdings" w:hint="default"/>
      </w:rPr>
    </w:lvl>
  </w:abstractNum>
  <w:abstractNum w:abstractNumId="6" w15:restartNumberingAfterBreak="0">
    <w:nsid w:val="57A1054A"/>
    <w:multiLevelType w:val="hybridMultilevel"/>
    <w:tmpl w:val="18A24680"/>
    <w:lvl w:ilvl="0" w:tplc="CAE0710A">
      <w:start w:val="1"/>
      <w:numFmt w:val="bullet"/>
      <w:lvlText w:val=""/>
      <w:lvlJc w:val="left"/>
      <w:pPr>
        <w:tabs>
          <w:tab w:val="num" w:pos="720"/>
        </w:tabs>
        <w:ind w:left="720" w:hanging="360"/>
      </w:pPr>
      <w:rPr>
        <w:rFonts w:ascii="Symbol" w:hAnsi="Symbol" w:hint="default"/>
      </w:rPr>
    </w:lvl>
    <w:lvl w:ilvl="1" w:tplc="05E816EC" w:tentative="1">
      <w:start w:val="1"/>
      <w:numFmt w:val="bullet"/>
      <w:lvlText w:val="o"/>
      <w:lvlJc w:val="left"/>
      <w:pPr>
        <w:ind w:left="1440" w:hanging="360"/>
      </w:pPr>
      <w:rPr>
        <w:rFonts w:ascii="Courier New" w:hAnsi="Courier New" w:cs="Courier New" w:hint="default"/>
      </w:rPr>
    </w:lvl>
    <w:lvl w:ilvl="2" w:tplc="B2E208AC" w:tentative="1">
      <w:start w:val="1"/>
      <w:numFmt w:val="bullet"/>
      <w:lvlText w:val=""/>
      <w:lvlJc w:val="left"/>
      <w:pPr>
        <w:ind w:left="2160" w:hanging="360"/>
      </w:pPr>
      <w:rPr>
        <w:rFonts w:ascii="Wingdings" w:hAnsi="Wingdings" w:hint="default"/>
      </w:rPr>
    </w:lvl>
    <w:lvl w:ilvl="3" w:tplc="06844CDE" w:tentative="1">
      <w:start w:val="1"/>
      <w:numFmt w:val="bullet"/>
      <w:lvlText w:val=""/>
      <w:lvlJc w:val="left"/>
      <w:pPr>
        <w:ind w:left="2880" w:hanging="360"/>
      </w:pPr>
      <w:rPr>
        <w:rFonts w:ascii="Symbol" w:hAnsi="Symbol" w:hint="default"/>
      </w:rPr>
    </w:lvl>
    <w:lvl w:ilvl="4" w:tplc="46DA86F2" w:tentative="1">
      <w:start w:val="1"/>
      <w:numFmt w:val="bullet"/>
      <w:lvlText w:val="o"/>
      <w:lvlJc w:val="left"/>
      <w:pPr>
        <w:ind w:left="3600" w:hanging="360"/>
      </w:pPr>
      <w:rPr>
        <w:rFonts w:ascii="Courier New" w:hAnsi="Courier New" w:cs="Courier New" w:hint="default"/>
      </w:rPr>
    </w:lvl>
    <w:lvl w:ilvl="5" w:tplc="748CBE90" w:tentative="1">
      <w:start w:val="1"/>
      <w:numFmt w:val="bullet"/>
      <w:lvlText w:val=""/>
      <w:lvlJc w:val="left"/>
      <w:pPr>
        <w:ind w:left="4320" w:hanging="360"/>
      </w:pPr>
      <w:rPr>
        <w:rFonts w:ascii="Wingdings" w:hAnsi="Wingdings" w:hint="default"/>
      </w:rPr>
    </w:lvl>
    <w:lvl w:ilvl="6" w:tplc="0AE2DE00" w:tentative="1">
      <w:start w:val="1"/>
      <w:numFmt w:val="bullet"/>
      <w:lvlText w:val=""/>
      <w:lvlJc w:val="left"/>
      <w:pPr>
        <w:ind w:left="5040" w:hanging="360"/>
      </w:pPr>
      <w:rPr>
        <w:rFonts w:ascii="Symbol" w:hAnsi="Symbol" w:hint="default"/>
      </w:rPr>
    </w:lvl>
    <w:lvl w:ilvl="7" w:tplc="4EAEF106" w:tentative="1">
      <w:start w:val="1"/>
      <w:numFmt w:val="bullet"/>
      <w:lvlText w:val="o"/>
      <w:lvlJc w:val="left"/>
      <w:pPr>
        <w:ind w:left="5760" w:hanging="360"/>
      </w:pPr>
      <w:rPr>
        <w:rFonts w:ascii="Courier New" w:hAnsi="Courier New" w:cs="Courier New" w:hint="default"/>
      </w:rPr>
    </w:lvl>
    <w:lvl w:ilvl="8" w:tplc="058636D8" w:tentative="1">
      <w:start w:val="1"/>
      <w:numFmt w:val="bullet"/>
      <w:lvlText w:val=""/>
      <w:lvlJc w:val="left"/>
      <w:pPr>
        <w:ind w:left="6480" w:hanging="360"/>
      </w:pPr>
      <w:rPr>
        <w:rFonts w:ascii="Wingdings" w:hAnsi="Wingdings" w:hint="default"/>
      </w:rPr>
    </w:lvl>
  </w:abstractNum>
  <w:abstractNum w:abstractNumId="7" w15:restartNumberingAfterBreak="0">
    <w:nsid w:val="5E314EBE"/>
    <w:multiLevelType w:val="hybridMultilevel"/>
    <w:tmpl w:val="3B84BFFE"/>
    <w:lvl w:ilvl="0" w:tplc="4A4CBAAE">
      <w:start w:val="1"/>
      <w:numFmt w:val="bullet"/>
      <w:lvlText w:val=""/>
      <w:lvlJc w:val="left"/>
      <w:pPr>
        <w:tabs>
          <w:tab w:val="num" w:pos="720"/>
        </w:tabs>
        <w:ind w:left="720" w:hanging="360"/>
      </w:pPr>
      <w:rPr>
        <w:rFonts w:ascii="Symbol" w:hAnsi="Symbol" w:hint="default"/>
      </w:rPr>
    </w:lvl>
    <w:lvl w:ilvl="1" w:tplc="579A2B98" w:tentative="1">
      <w:start w:val="1"/>
      <w:numFmt w:val="bullet"/>
      <w:lvlText w:val="o"/>
      <w:lvlJc w:val="left"/>
      <w:pPr>
        <w:ind w:left="1440" w:hanging="360"/>
      </w:pPr>
      <w:rPr>
        <w:rFonts w:ascii="Courier New" w:hAnsi="Courier New" w:cs="Courier New" w:hint="default"/>
      </w:rPr>
    </w:lvl>
    <w:lvl w:ilvl="2" w:tplc="E29C30CE" w:tentative="1">
      <w:start w:val="1"/>
      <w:numFmt w:val="bullet"/>
      <w:lvlText w:val=""/>
      <w:lvlJc w:val="left"/>
      <w:pPr>
        <w:ind w:left="2160" w:hanging="360"/>
      </w:pPr>
      <w:rPr>
        <w:rFonts w:ascii="Wingdings" w:hAnsi="Wingdings" w:hint="default"/>
      </w:rPr>
    </w:lvl>
    <w:lvl w:ilvl="3" w:tplc="A7AC0ED4" w:tentative="1">
      <w:start w:val="1"/>
      <w:numFmt w:val="bullet"/>
      <w:lvlText w:val=""/>
      <w:lvlJc w:val="left"/>
      <w:pPr>
        <w:ind w:left="2880" w:hanging="360"/>
      </w:pPr>
      <w:rPr>
        <w:rFonts w:ascii="Symbol" w:hAnsi="Symbol" w:hint="default"/>
      </w:rPr>
    </w:lvl>
    <w:lvl w:ilvl="4" w:tplc="38A43A46" w:tentative="1">
      <w:start w:val="1"/>
      <w:numFmt w:val="bullet"/>
      <w:lvlText w:val="o"/>
      <w:lvlJc w:val="left"/>
      <w:pPr>
        <w:ind w:left="3600" w:hanging="360"/>
      </w:pPr>
      <w:rPr>
        <w:rFonts w:ascii="Courier New" w:hAnsi="Courier New" w:cs="Courier New" w:hint="default"/>
      </w:rPr>
    </w:lvl>
    <w:lvl w:ilvl="5" w:tplc="1230313A" w:tentative="1">
      <w:start w:val="1"/>
      <w:numFmt w:val="bullet"/>
      <w:lvlText w:val=""/>
      <w:lvlJc w:val="left"/>
      <w:pPr>
        <w:ind w:left="4320" w:hanging="360"/>
      </w:pPr>
      <w:rPr>
        <w:rFonts w:ascii="Wingdings" w:hAnsi="Wingdings" w:hint="default"/>
      </w:rPr>
    </w:lvl>
    <w:lvl w:ilvl="6" w:tplc="C4988238" w:tentative="1">
      <w:start w:val="1"/>
      <w:numFmt w:val="bullet"/>
      <w:lvlText w:val=""/>
      <w:lvlJc w:val="left"/>
      <w:pPr>
        <w:ind w:left="5040" w:hanging="360"/>
      </w:pPr>
      <w:rPr>
        <w:rFonts w:ascii="Symbol" w:hAnsi="Symbol" w:hint="default"/>
      </w:rPr>
    </w:lvl>
    <w:lvl w:ilvl="7" w:tplc="2138EA3C" w:tentative="1">
      <w:start w:val="1"/>
      <w:numFmt w:val="bullet"/>
      <w:lvlText w:val="o"/>
      <w:lvlJc w:val="left"/>
      <w:pPr>
        <w:ind w:left="5760" w:hanging="360"/>
      </w:pPr>
      <w:rPr>
        <w:rFonts w:ascii="Courier New" w:hAnsi="Courier New" w:cs="Courier New" w:hint="default"/>
      </w:rPr>
    </w:lvl>
    <w:lvl w:ilvl="8" w:tplc="A0DE0AB0" w:tentative="1">
      <w:start w:val="1"/>
      <w:numFmt w:val="bullet"/>
      <w:lvlText w:val=""/>
      <w:lvlJc w:val="left"/>
      <w:pPr>
        <w:ind w:left="6480" w:hanging="360"/>
      </w:pPr>
      <w:rPr>
        <w:rFonts w:ascii="Wingdings" w:hAnsi="Wingdings" w:hint="default"/>
      </w:rPr>
    </w:lvl>
  </w:abstractNum>
  <w:abstractNum w:abstractNumId="8" w15:restartNumberingAfterBreak="0">
    <w:nsid w:val="67672FCD"/>
    <w:multiLevelType w:val="hybridMultilevel"/>
    <w:tmpl w:val="F08849A4"/>
    <w:lvl w:ilvl="0" w:tplc="1278CB8C">
      <w:start w:val="1"/>
      <w:numFmt w:val="bullet"/>
      <w:lvlText w:val=""/>
      <w:lvlJc w:val="left"/>
      <w:pPr>
        <w:tabs>
          <w:tab w:val="num" w:pos="720"/>
        </w:tabs>
        <w:ind w:left="720" w:hanging="360"/>
      </w:pPr>
      <w:rPr>
        <w:rFonts w:ascii="Symbol" w:hAnsi="Symbol" w:hint="default"/>
      </w:rPr>
    </w:lvl>
    <w:lvl w:ilvl="1" w:tplc="35E627D0" w:tentative="1">
      <w:start w:val="1"/>
      <w:numFmt w:val="bullet"/>
      <w:lvlText w:val="o"/>
      <w:lvlJc w:val="left"/>
      <w:pPr>
        <w:ind w:left="1440" w:hanging="360"/>
      </w:pPr>
      <w:rPr>
        <w:rFonts w:ascii="Courier New" w:hAnsi="Courier New" w:cs="Courier New" w:hint="default"/>
      </w:rPr>
    </w:lvl>
    <w:lvl w:ilvl="2" w:tplc="BA12FDCA" w:tentative="1">
      <w:start w:val="1"/>
      <w:numFmt w:val="bullet"/>
      <w:lvlText w:val=""/>
      <w:lvlJc w:val="left"/>
      <w:pPr>
        <w:ind w:left="2160" w:hanging="360"/>
      </w:pPr>
      <w:rPr>
        <w:rFonts w:ascii="Wingdings" w:hAnsi="Wingdings" w:hint="default"/>
      </w:rPr>
    </w:lvl>
    <w:lvl w:ilvl="3" w:tplc="C86C7376" w:tentative="1">
      <w:start w:val="1"/>
      <w:numFmt w:val="bullet"/>
      <w:lvlText w:val=""/>
      <w:lvlJc w:val="left"/>
      <w:pPr>
        <w:ind w:left="2880" w:hanging="360"/>
      </w:pPr>
      <w:rPr>
        <w:rFonts w:ascii="Symbol" w:hAnsi="Symbol" w:hint="default"/>
      </w:rPr>
    </w:lvl>
    <w:lvl w:ilvl="4" w:tplc="0C821F00" w:tentative="1">
      <w:start w:val="1"/>
      <w:numFmt w:val="bullet"/>
      <w:lvlText w:val="o"/>
      <w:lvlJc w:val="left"/>
      <w:pPr>
        <w:ind w:left="3600" w:hanging="360"/>
      </w:pPr>
      <w:rPr>
        <w:rFonts w:ascii="Courier New" w:hAnsi="Courier New" w:cs="Courier New" w:hint="default"/>
      </w:rPr>
    </w:lvl>
    <w:lvl w:ilvl="5" w:tplc="B00AECBC" w:tentative="1">
      <w:start w:val="1"/>
      <w:numFmt w:val="bullet"/>
      <w:lvlText w:val=""/>
      <w:lvlJc w:val="left"/>
      <w:pPr>
        <w:ind w:left="4320" w:hanging="360"/>
      </w:pPr>
      <w:rPr>
        <w:rFonts w:ascii="Wingdings" w:hAnsi="Wingdings" w:hint="default"/>
      </w:rPr>
    </w:lvl>
    <w:lvl w:ilvl="6" w:tplc="79CE66DA" w:tentative="1">
      <w:start w:val="1"/>
      <w:numFmt w:val="bullet"/>
      <w:lvlText w:val=""/>
      <w:lvlJc w:val="left"/>
      <w:pPr>
        <w:ind w:left="5040" w:hanging="360"/>
      </w:pPr>
      <w:rPr>
        <w:rFonts w:ascii="Symbol" w:hAnsi="Symbol" w:hint="default"/>
      </w:rPr>
    </w:lvl>
    <w:lvl w:ilvl="7" w:tplc="15E426EE" w:tentative="1">
      <w:start w:val="1"/>
      <w:numFmt w:val="bullet"/>
      <w:lvlText w:val="o"/>
      <w:lvlJc w:val="left"/>
      <w:pPr>
        <w:ind w:left="5760" w:hanging="360"/>
      </w:pPr>
      <w:rPr>
        <w:rFonts w:ascii="Courier New" w:hAnsi="Courier New" w:cs="Courier New" w:hint="default"/>
      </w:rPr>
    </w:lvl>
    <w:lvl w:ilvl="8" w:tplc="FA66B82E" w:tentative="1">
      <w:start w:val="1"/>
      <w:numFmt w:val="bullet"/>
      <w:lvlText w:val=""/>
      <w:lvlJc w:val="left"/>
      <w:pPr>
        <w:ind w:left="6480" w:hanging="360"/>
      </w:pPr>
      <w:rPr>
        <w:rFonts w:ascii="Wingdings" w:hAnsi="Wingdings" w:hint="default"/>
      </w:rPr>
    </w:lvl>
  </w:abstractNum>
  <w:abstractNum w:abstractNumId="9" w15:restartNumberingAfterBreak="0">
    <w:nsid w:val="68344E1C"/>
    <w:multiLevelType w:val="hybridMultilevel"/>
    <w:tmpl w:val="BD8635F6"/>
    <w:lvl w:ilvl="0" w:tplc="38380720">
      <w:start w:val="1"/>
      <w:numFmt w:val="bullet"/>
      <w:lvlText w:val=""/>
      <w:lvlJc w:val="left"/>
      <w:pPr>
        <w:tabs>
          <w:tab w:val="num" w:pos="720"/>
        </w:tabs>
        <w:ind w:left="720" w:hanging="360"/>
      </w:pPr>
      <w:rPr>
        <w:rFonts w:ascii="Symbol" w:hAnsi="Symbol" w:hint="default"/>
      </w:rPr>
    </w:lvl>
    <w:lvl w:ilvl="1" w:tplc="D4A8DCE4" w:tentative="1">
      <w:start w:val="1"/>
      <w:numFmt w:val="bullet"/>
      <w:lvlText w:val="o"/>
      <w:lvlJc w:val="left"/>
      <w:pPr>
        <w:ind w:left="1440" w:hanging="360"/>
      </w:pPr>
      <w:rPr>
        <w:rFonts w:ascii="Courier New" w:hAnsi="Courier New" w:cs="Courier New" w:hint="default"/>
      </w:rPr>
    </w:lvl>
    <w:lvl w:ilvl="2" w:tplc="C7AA41C6" w:tentative="1">
      <w:start w:val="1"/>
      <w:numFmt w:val="bullet"/>
      <w:lvlText w:val=""/>
      <w:lvlJc w:val="left"/>
      <w:pPr>
        <w:ind w:left="2160" w:hanging="360"/>
      </w:pPr>
      <w:rPr>
        <w:rFonts w:ascii="Wingdings" w:hAnsi="Wingdings" w:hint="default"/>
      </w:rPr>
    </w:lvl>
    <w:lvl w:ilvl="3" w:tplc="DF7054FE" w:tentative="1">
      <w:start w:val="1"/>
      <w:numFmt w:val="bullet"/>
      <w:lvlText w:val=""/>
      <w:lvlJc w:val="left"/>
      <w:pPr>
        <w:ind w:left="2880" w:hanging="360"/>
      </w:pPr>
      <w:rPr>
        <w:rFonts w:ascii="Symbol" w:hAnsi="Symbol" w:hint="default"/>
      </w:rPr>
    </w:lvl>
    <w:lvl w:ilvl="4" w:tplc="1D882B6E" w:tentative="1">
      <w:start w:val="1"/>
      <w:numFmt w:val="bullet"/>
      <w:lvlText w:val="o"/>
      <w:lvlJc w:val="left"/>
      <w:pPr>
        <w:ind w:left="3600" w:hanging="360"/>
      </w:pPr>
      <w:rPr>
        <w:rFonts w:ascii="Courier New" w:hAnsi="Courier New" w:cs="Courier New" w:hint="default"/>
      </w:rPr>
    </w:lvl>
    <w:lvl w:ilvl="5" w:tplc="80DAABCE" w:tentative="1">
      <w:start w:val="1"/>
      <w:numFmt w:val="bullet"/>
      <w:lvlText w:val=""/>
      <w:lvlJc w:val="left"/>
      <w:pPr>
        <w:ind w:left="4320" w:hanging="360"/>
      </w:pPr>
      <w:rPr>
        <w:rFonts w:ascii="Wingdings" w:hAnsi="Wingdings" w:hint="default"/>
      </w:rPr>
    </w:lvl>
    <w:lvl w:ilvl="6" w:tplc="A8CC334C" w:tentative="1">
      <w:start w:val="1"/>
      <w:numFmt w:val="bullet"/>
      <w:lvlText w:val=""/>
      <w:lvlJc w:val="left"/>
      <w:pPr>
        <w:ind w:left="5040" w:hanging="360"/>
      </w:pPr>
      <w:rPr>
        <w:rFonts w:ascii="Symbol" w:hAnsi="Symbol" w:hint="default"/>
      </w:rPr>
    </w:lvl>
    <w:lvl w:ilvl="7" w:tplc="7C74D438" w:tentative="1">
      <w:start w:val="1"/>
      <w:numFmt w:val="bullet"/>
      <w:lvlText w:val="o"/>
      <w:lvlJc w:val="left"/>
      <w:pPr>
        <w:ind w:left="5760" w:hanging="360"/>
      </w:pPr>
      <w:rPr>
        <w:rFonts w:ascii="Courier New" w:hAnsi="Courier New" w:cs="Courier New" w:hint="default"/>
      </w:rPr>
    </w:lvl>
    <w:lvl w:ilvl="8" w:tplc="F83CDC2C" w:tentative="1">
      <w:start w:val="1"/>
      <w:numFmt w:val="bullet"/>
      <w:lvlText w:val=""/>
      <w:lvlJc w:val="left"/>
      <w:pPr>
        <w:ind w:left="6480" w:hanging="360"/>
      </w:pPr>
      <w:rPr>
        <w:rFonts w:ascii="Wingdings" w:hAnsi="Wingdings" w:hint="default"/>
      </w:rPr>
    </w:lvl>
  </w:abstractNum>
  <w:abstractNum w:abstractNumId="10" w15:restartNumberingAfterBreak="0">
    <w:nsid w:val="7D7B3C0E"/>
    <w:multiLevelType w:val="hybridMultilevel"/>
    <w:tmpl w:val="2782E99A"/>
    <w:lvl w:ilvl="0" w:tplc="937809B8">
      <w:start w:val="1"/>
      <w:numFmt w:val="bullet"/>
      <w:lvlText w:val=""/>
      <w:lvlJc w:val="left"/>
      <w:pPr>
        <w:tabs>
          <w:tab w:val="num" w:pos="720"/>
        </w:tabs>
        <w:ind w:left="720" w:hanging="360"/>
      </w:pPr>
      <w:rPr>
        <w:rFonts w:ascii="Symbol" w:hAnsi="Symbol" w:hint="default"/>
      </w:rPr>
    </w:lvl>
    <w:lvl w:ilvl="1" w:tplc="2ECEFCC0" w:tentative="1">
      <w:start w:val="1"/>
      <w:numFmt w:val="bullet"/>
      <w:lvlText w:val="o"/>
      <w:lvlJc w:val="left"/>
      <w:pPr>
        <w:ind w:left="1440" w:hanging="360"/>
      </w:pPr>
      <w:rPr>
        <w:rFonts w:ascii="Courier New" w:hAnsi="Courier New" w:cs="Courier New" w:hint="default"/>
      </w:rPr>
    </w:lvl>
    <w:lvl w:ilvl="2" w:tplc="EDF2227A" w:tentative="1">
      <w:start w:val="1"/>
      <w:numFmt w:val="bullet"/>
      <w:lvlText w:val=""/>
      <w:lvlJc w:val="left"/>
      <w:pPr>
        <w:ind w:left="2160" w:hanging="360"/>
      </w:pPr>
      <w:rPr>
        <w:rFonts w:ascii="Wingdings" w:hAnsi="Wingdings" w:hint="default"/>
      </w:rPr>
    </w:lvl>
    <w:lvl w:ilvl="3" w:tplc="E818A190" w:tentative="1">
      <w:start w:val="1"/>
      <w:numFmt w:val="bullet"/>
      <w:lvlText w:val=""/>
      <w:lvlJc w:val="left"/>
      <w:pPr>
        <w:ind w:left="2880" w:hanging="360"/>
      </w:pPr>
      <w:rPr>
        <w:rFonts w:ascii="Symbol" w:hAnsi="Symbol" w:hint="default"/>
      </w:rPr>
    </w:lvl>
    <w:lvl w:ilvl="4" w:tplc="78E8C61A" w:tentative="1">
      <w:start w:val="1"/>
      <w:numFmt w:val="bullet"/>
      <w:lvlText w:val="o"/>
      <w:lvlJc w:val="left"/>
      <w:pPr>
        <w:ind w:left="3600" w:hanging="360"/>
      </w:pPr>
      <w:rPr>
        <w:rFonts w:ascii="Courier New" w:hAnsi="Courier New" w:cs="Courier New" w:hint="default"/>
      </w:rPr>
    </w:lvl>
    <w:lvl w:ilvl="5" w:tplc="6AE67936" w:tentative="1">
      <w:start w:val="1"/>
      <w:numFmt w:val="bullet"/>
      <w:lvlText w:val=""/>
      <w:lvlJc w:val="left"/>
      <w:pPr>
        <w:ind w:left="4320" w:hanging="360"/>
      </w:pPr>
      <w:rPr>
        <w:rFonts w:ascii="Wingdings" w:hAnsi="Wingdings" w:hint="default"/>
      </w:rPr>
    </w:lvl>
    <w:lvl w:ilvl="6" w:tplc="959CFB10" w:tentative="1">
      <w:start w:val="1"/>
      <w:numFmt w:val="bullet"/>
      <w:lvlText w:val=""/>
      <w:lvlJc w:val="left"/>
      <w:pPr>
        <w:ind w:left="5040" w:hanging="360"/>
      </w:pPr>
      <w:rPr>
        <w:rFonts w:ascii="Symbol" w:hAnsi="Symbol" w:hint="default"/>
      </w:rPr>
    </w:lvl>
    <w:lvl w:ilvl="7" w:tplc="5424514A" w:tentative="1">
      <w:start w:val="1"/>
      <w:numFmt w:val="bullet"/>
      <w:lvlText w:val="o"/>
      <w:lvlJc w:val="left"/>
      <w:pPr>
        <w:ind w:left="5760" w:hanging="360"/>
      </w:pPr>
      <w:rPr>
        <w:rFonts w:ascii="Courier New" w:hAnsi="Courier New" w:cs="Courier New" w:hint="default"/>
      </w:rPr>
    </w:lvl>
    <w:lvl w:ilvl="8" w:tplc="EA2A093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8"/>
  </w:num>
  <w:num w:numId="7">
    <w:abstractNumId w:val="2"/>
  </w:num>
  <w:num w:numId="8">
    <w:abstractNumId w:val="10"/>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3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03F"/>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24D4"/>
    <w:rsid w:val="00064BF2"/>
    <w:rsid w:val="000667BA"/>
    <w:rsid w:val="000676A7"/>
    <w:rsid w:val="00073914"/>
    <w:rsid w:val="00074236"/>
    <w:rsid w:val="000746BD"/>
    <w:rsid w:val="00075B16"/>
    <w:rsid w:val="00076D7D"/>
    <w:rsid w:val="00080D95"/>
    <w:rsid w:val="00090E6B"/>
    <w:rsid w:val="00091B2C"/>
    <w:rsid w:val="00092ABC"/>
    <w:rsid w:val="00097AAF"/>
    <w:rsid w:val="00097D13"/>
    <w:rsid w:val="00097E1C"/>
    <w:rsid w:val="000A11F1"/>
    <w:rsid w:val="000A1C8F"/>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136"/>
    <w:rsid w:val="000D32A1"/>
    <w:rsid w:val="000D3725"/>
    <w:rsid w:val="000D46E5"/>
    <w:rsid w:val="000D65C4"/>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7A"/>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08A5"/>
    <w:rsid w:val="001312BB"/>
    <w:rsid w:val="00137D90"/>
    <w:rsid w:val="00141FB6"/>
    <w:rsid w:val="00142F8E"/>
    <w:rsid w:val="00143C8B"/>
    <w:rsid w:val="00147530"/>
    <w:rsid w:val="00151A76"/>
    <w:rsid w:val="0015331F"/>
    <w:rsid w:val="00153CC5"/>
    <w:rsid w:val="00154CC0"/>
    <w:rsid w:val="00154F38"/>
    <w:rsid w:val="00156AB2"/>
    <w:rsid w:val="00160402"/>
    <w:rsid w:val="00160571"/>
    <w:rsid w:val="00161E93"/>
    <w:rsid w:val="00162072"/>
    <w:rsid w:val="00162C7A"/>
    <w:rsid w:val="00162DAE"/>
    <w:rsid w:val="001639C5"/>
    <w:rsid w:val="00163E45"/>
    <w:rsid w:val="001664C2"/>
    <w:rsid w:val="00171BF2"/>
    <w:rsid w:val="0017347B"/>
    <w:rsid w:val="0017725B"/>
    <w:rsid w:val="0018050C"/>
    <w:rsid w:val="0018117F"/>
    <w:rsid w:val="00181633"/>
    <w:rsid w:val="001824ED"/>
    <w:rsid w:val="00183262"/>
    <w:rsid w:val="00183A32"/>
    <w:rsid w:val="0018478F"/>
    <w:rsid w:val="00184B03"/>
    <w:rsid w:val="00185C59"/>
    <w:rsid w:val="00187C1B"/>
    <w:rsid w:val="001908AC"/>
    <w:rsid w:val="00190CFB"/>
    <w:rsid w:val="0019457A"/>
    <w:rsid w:val="00195257"/>
    <w:rsid w:val="00195388"/>
    <w:rsid w:val="0019539E"/>
    <w:rsid w:val="001957E1"/>
    <w:rsid w:val="001968BC"/>
    <w:rsid w:val="001A0739"/>
    <w:rsid w:val="001A0F00"/>
    <w:rsid w:val="001A2BDD"/>
    <w:rsid w:val="001A2C36"/>
    <w:rsid w:val="001A3DDF"/>
    <w:rsid w:val="001A4310"/>
    <w:rsid w:val="001B053A"/>
    <w:rsid w:val="001B26D8"/>
    <w:rsid w:val="001B3BFA"/>
    <w:rsid w:val="001B4226"/>
    <w:rsid w:val="001B75B8"/>
    <w:rsid w:val="001C1230"/>
    <w:rsid w:val="001C60B5"/>
    <w:rsid w:val="001C61B0"/>
    <w:rsid w:val="001C7957"/>
    <w:rsid w:val="001C7DB8"/>
    <w:rsid w:val="001C7EA8"/>
    <w:rsid w:val="001D1711"/>
    <w:rsid w:val="001D2A01"/>
    <w:rsid w:val="001D2EF6"/>
    <w:rsid w:val="001D37A8"/>
    <w:rsid w:val="001D4102"/>
    <w:rsid w:val="001D462E"/>
    <w:rsid w:val="001E2CAD"/>
    <w:rsid w:val="001E34DB"/>
    <w:rsid w:val="001E37CD"/>
    <w:rsid w:val="001E4070"/>
    <w:rsid w:val="001E655E"/>
    <w:rsid w:val="001F3CB8"/>
    <w:rsid w:val="001F453B"/>
    <w:rsid w:val="001F6B91"/>
    <w:rsid w:val="001F703C"/>
    <w:rsid w:val="001F7E74"/>
    <w:rsid w:val="00200B9E"/>
    <w:rsid w:val="00200BF5"/>
    <w:rsid w:val="002010D1"/>
    <w:rsid w:val="00201338"/>
    <w:rsid w:val="002020FA"/>
    <w:rsid w:val="0020775D"/>
    <w:rsid w:val="002116DD"/>
    <w:rsid w:val="0021383D"/>
    <w:rsid w:val="00216BBA"/>
    <w:rsid w:val="00216E12"/>
    <w:rsid w:val="00217466"/>
    <w:rsid w:val="0021751D"/>
    <w:rsid w:val="00217C49"/>
    <w:rsid w:val="0022177D"/>
    <w:rsid w:val="002242DA"/>
    <w:rsid w:val="00224C37"/>
    <w:rsid w:val="00225C18"/>
    <w:rsid w:val="00226D7C"/>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3B6"/>
    <w:rsid w:val="00267841"/>
    <w:rsid w:val="002710C3"/>
    <w:rsid w:val="002734D6"/>
    <w:rsid w:val="00274C45"/>
    <w:rsid w:val="00275109"/>
    <w:rsid w:val="00275BEE"/>
    <w:rsid w:val="00277434"/>
    <w:rsid w:val="00277793"/>
    <w:rsid w:val="00280123"/>
    <w:rsid w:val="00281343"/>
    <w:rsid w:val="00281883"/>
    <w:rsid w:val="002874E3"/>
    <w:rsid w:val="00287656"/>
    <w:rsid w:val="00291518"/>
    <w:rsid w:val="00291914"/>
    <w:rsid w:val="00296FF0"/>
    <w:rsid w:val="002978A5"/>
    <w:rsid w:val="002A17C0"/>
    <w:rsid w:val="002A48DF"/>
    <w:rsid w:val="002A5A84"/>
    <w:rsid w:val="002A6E6F"/>
    <w:rsid w:val="002A74E4"/>
    <w:rsid w:val="002A7CFE"/>
    <w:rsid w:val="002B26DD"/>
    <w:rsid w:val="002B2870"/>
    <w:rsid w:val="002B391B"/>
    <w:rsid w:val="002B4B7C"/>
    <w:rsid w:val="002B5B42"/>
    <w:rsid w:val="002B7BA7"/>
    <w:rsid w:val="002C1C17"/>
    <w:rsid w:val="002C3132"/>
    <w:rsid w:val="002C3203"/>
    <w:rsid w:val="002C3B07"/>
    <w:rsid w:val="002C532B"/>
    <w:rsid w:val="002C5713"/>
    <w:rsid w:val="002D05CC"/>
    <w:rsid w:val="002D305A"/>
    <w:rsid w:val="002D750C"/>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43CE"/>
    <w:rsid w:val="0033528F"/>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3ABA"/>
    <w:rsid w:val="00364315"/>
    <w:rsid w:val="003643E2"/>
    <w:rsid w:val="00370155"/>
    <w:rsid w:val="003712D5"/>
    <w:rsid w:val="003747DF"/>
    <w:rsid w:val="00377E3D"/>
    <w:rsid w:val="00381CC0"/>
    <w:rsid w:val="003847E8"/>
    <w:rsid w:val="0038731D"/>
    <w:rsid w:val="00387B60"/>
    <w:rsid w:val="00390098"/>
    <w:rsid w:val="00392DA1"/>
    <w:rsid w:val="00393718"/>
    <w:rsid w:val="003A0296"/>
    <w:rsid w:val="003A10BC"/>
    <w:rsid w:val="003A6F8B"/>
    <w:rsid w:val="003B1501"/>
    <w:rsid w:val="003B185E"/>
    <w:rsid w:val="003B198A"/>
    <w:rsid w:val="003B1A7B"/>
    <w:rsid w:val="003B1CA3"/>
    <w:rsid w:val="003B1ED9"/>
    <w:rsid w:val="003B2891"/>
    <w:rsid w:val="003B3DF3"/>
    <w:rsid w:val="003B4305"/>
    <w:rsid w:val="003B48E2"/>
    <w:rsid w:val="003B4FA1"/>
    <w:rsid w:val="003B53C8"/>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3E4"/>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652F"/>
    <w:rsid w:val="00466CBA"/>
    <w:rsid w:val="00474927"/>
    <w:rsid w:val="00475913"/>
    <w:rsid w:val="00480080"/>
    <w:rsid w:val="004824A7"/>
    <w:rsid w:val="00483AF0"/>
    <w:rsid w:val="00484167"/>
    <w:rsid w:val="00487AE1"/>
    <w:rsid w:val="00492211"/>
    <w:rsid w:val="00492325"/>
    <w:rsid w:val="00492A6D"/>
    <w:rsid w:val="00494303"/>
    <w:rsid w:val="0049682B"/>
    <w:rsid w:val="004977A3"/>
    <w:rsid w:val="004A03F7"/>
    <w:rsid w:val="004A081C"/>
    <w:rsid w:val="004A0C2B"/>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3C83"/>
    <w:rsid w:val="004E47F2"/>
    <w:rsid w:val="004E4E2B"/>
    <w:rsid w:val="004E5D4F"/>
    <w:rsid w:val="004E5DEA"/>
    <w:rsid w:val="004E6639"/>
    <w:rsid w:val="004E6BAE"/>
    <w:rsid w:val="004F2B2F"/>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351F"/>
    <w:rsid w:val="00576714"/>
    <w:rsid w:val="0057685A"/>
    <w:rsid w:val="0058201C"/>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96"/>
    <w:rsid w:val="005C17C5"/>
    <w:rsid w:val="005C2B21"/>
    <w:rsid w:val="005C2C00"/>
    <w:rsid w:val="005C4C6F"/>
    <w:rsid w:val="005C5127"/>
    <w:rsid w:val="005C7CCB"/>
    <w:rsid w:val="005D1444"/>
    <w:rsid w:val="005D330F"/>
    <w:rsid w:val="005D4DAE"/>
    <w:rsid w:val="005D767D"/>
    <w:rsid w:val="005D7A30"/>
    <w:rsid w:val="005D7D3B"/>
    <w:rsid w:val="005E152C"/>
    <w:rsid w:val="005E1999"/>
    <w:rsid w:val="005E232C"/>
    <w:rsid w:val="005E2B83"/>
    <w:rsid w:val="005E3AD8"/>
    <w:rsid w:val="005E4AEB"/>
    <w:rsid w:val="005E738F"/>
    <w:rsid w:val="005E75A0"/>
    <w:rsid w:val="005E788B"/>
    <w:rsid w:val="005F1519"/>
    <w:rsid w:val="005F4862"/>
    <w:rsid w:val="005F5679"/>
    <w:rsid w:val="005F5FDF"/>
    <w:rsid w:val="005F6960"/>
    <w:rsid w:val="005F7000"/>
    <w:rsid w:val="005F7AAA"/>
    <w:rsid w:val="00600269"/>
    <w:rsid w:val="00600BAA"/>
    <w:rsid w:val="006012DA"/>
    <w:rsid w:val="00603B0F"/>
    <w:rsid w:val="006049F5"/>
    <w:rsid w:val="00605F7B"/>
    <w:rsid w:val="00607E64"/>
    <w:rsid w:val="006106E9"/>
    <w:rsid w:val="0061159E"/>
    <w:rsid w:val="00614633"/>
    <w:rsid w:val="00614BC8"/>
    <w:rsid w:val="006151FB"/>
    <w:rsid w:val="00617411"/>
    <w:rsid w:val="006223C5"/>
    <w:rsid w:val="006249CB"/>
    <w:rsid w:val="006272DD"/>
    <w:rsid w:val="00630963"/>
    <w:rsid w:val="00631897"/>
    <w:rsid w:val="00632928"/>
    <w:rsid w:val="006330DA"/>
    <w:rsid w:val="00633262"/>
    <w:rsid w:val="00633460"/>
    <w:rsid w:val="006402E7"/>
    <w:rsid w:val="00640CB6"/>
    <w:rsid w:val="00641B42"/>
    <w:rsid w:val="00645750"/>
    <w:rsid w:val="00646694"/>
    <w:rsid w:val="00646C94"/>
    <w:rsid w:val="00650692"/>
    <w:rsid w:val="006508D3"/>
    <w:rsid w:val="00650AFA"/>
    <w:rsid w:val="00661138"/>
    <w:rsid w:val="00662B77"/>
    <w:rsid w:val="00662D0E"/>
    <w:rsid w:val="00663265"/>
    <w:rsid w:val="0066345F"/>
    <w:rsid w:val="0066485B"/>
    <w:rsid w:val="0067036E"/>
    <w:rsid w:val="00671693"/>
    <w:rsid w:val="00673069"/>
    <w:rsid w:val="006757AA"/>
    <w:rsid w:val="0068127E"/>
    <w:rsid w:val="00681790"/>
    <w:rsid w:val="006823AA"/>
    <w:rsid w:val="0068302A"/>
    <w:rsid w:val="0068367F"/>
    <w:rsid w:val="00684B98"/>
    <w:rsid w:val="00685DC9"/>
    <w:rsid w:val="00687465"/>
    <w:rsid w:val="006907CF"/>
    <w:rsid w:val="00691CCF"/>
    <w:rsid w:val="00693AFA"/>
    <w:rsid w:val="00695101"/>
    <w:rsid w:val="00695B9A"/>
    <w:rsid w:val="00696563"/>
    <w:rsid w:val="006979F8"/>
    <w:rsid w:val="006A174A"/>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0490"/>
    <w:rsid w:val="006C4709"/>
    <w:rsid w:val="006D15E6"/>
    <w:rsid w:val="006D3005"/>
    <w:rsid w:val="006D504F"/>
    <w:rsid w:val="006E0CAC"/>
    <w:rsid w:val="006E1CFB"/>
    <w:rsid w:val="006E1F94"/>
    <w:rsid w:val="006E26C1"/>
    <w:rsid w:val="006E30A8"/>
    <w:rsid w:val="006E45B0"/>
    <w:rsid w:val="006E5692"/>
    <w:rsid w:val="006F162B"/>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C48"/>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C9F"/>
    <w:rsid w:val="0075287B"/>
    <w:rsid w:val="00755C7B"/>
    <w:rsid w:val="00761C4E"/>
    <w:rsid w:val="00764786"/>
    <w:rsid w:val="00766E12"/>
    <w:rsid w:val="0077098E"/>
    <w:rsid w:val="00771287"/>
    <w:rsid w:val="0077149E"/>
    <w:rsid w:val="00777518"/>
    <w:rsid w:val="0077779E"/>
    <w:rsid w:val="00780FB6"/>
    <w:rsid w:val="0078552A"/>
    <w:rsid w:val="00785729"/>
    <w:rsid w:val="00786058"/>
    <w:rsid w:val="007903CE"/>
    <w:rsid w:val="0079487D"/>
    <w:rsid w:val="007966D4"/>
    <w:rsid w:val="00796A0A"/>
    <w:rsid w:val="0079792C"/>
    <w:rsid w:val="007A0989"/>
    <w:rsid w:val="007A331F"/>
    <w:rsid w:val="007A3844"/>
    <w:rsid w:val="007A4381"/>
    <w:rsid w:val="007A5466"/>
    <w:rsid w:val="007A63EC"/>
    <w:rsid w:val="007A7EC1"/>
    <w:rsid w:val="007B07D6"/>
    <w:rsid w:val="007B4FCA"/>
    <w:rsid w:val="007B7B85"/>
    <w:rsid w:val="007C462E"/>
    <w:rsid w:val="007C496B"/>
    <w:rsid w:val="007C6803"/>
    <w:rsid w:val="007D2892"/>
    <w:rsid w:val="007D2DCC"/>
    <w:rsid w:val="007D3C63"/>
    <w:rsid w:val="007D47E1"/>
    <w:rsid w:val="007D7FCB"/>
    <w:rsid w:val="007E33B6"/>
    <w:rsid w:val="007E59E8"/>
    <w:rsid w:val="007F3861"/>
    <w:rsid w:val="007F4162"/>
    <w:rsid w:val="007F5441"/>
    <w:rsid w:val="007F7668"/>
    <w:rsid w:val="00800C63"/>
    <w:rsid w:val="00801045"/>
    <w:rsid w:val="00802243"/>
    <w:rsid w:val="008023D4"/>
    <w:rsid w:val="00802C87"/>
    <w:rsid w:val="00804124"/>
    <w:rsid w:val="00805402"/>
    <w:rsid w:val="0080765F"/>
    <w:rsid w:val="00812BE3"/>
    <w:rsid w:val="00814516"/>
    <w:rsid w:val="00815C9D"/>
    <w:rsid w:val="008170E2"/>
    <w:rsid w:val="00823E4C"/>
    <w:rsid w:val="00825158"/>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030E"/>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2A49"/>
    <w:rsid w:val="00882C3D"/>
    <w:rsid w:val="008845BA"/>
    <w:rsid w:val="00884AE3"/>
    <w:rsid w:val="00885203"/>
    <w:rsid w:val="008859CA"/>
    <w:rsid w:val="008861EE"/>
    <w:rsid w:val="00890B59"/>
    <w:rsid w:val="008930D7"/>
    <w:rsid w:val="008947A7"/>
    <w:rsid w:val="00895B2B"/>
    <w:rsid w:val="00897E80"/>
    <w:rsid w:val="008A04FA"/>
    <w:rsid w:val="008A3188"/>
    <w:rsid w:val="008A3FDF"/>
    <w:rsid w:val="008A612A"/>
    <w:rsid w:val="008A6418"/>
    <w:rsid w:val="008B05D8"/>
    <w:rsid w:val="008B0B3D"/>
    <w:rsid w:val="008B1DD9"/>
    <w:rsid w:val="008B2B1A"/>
    <w:rsid w:val="008B2B6F"/>
    <w:rsid w:val="008B3428"/>
    <w:rsid w:val="008B4A91"/>
    <w:rsid w:val="008B4FF5"/>
    <w:rsid w:val="008B7785"/>
    <w:rsid w:val="008B79F2"/>
    <w:rsid w:val="008C0809"/>
    <w:rsid w:val="008C1036"/>
    <w:rsid w:val="008C132C"/>
    <w:rsid w:val="008C3FD0"/>
    <w:rsid w:val="008D27A5"/>
    <w:rsid w:val="008D2AAB"/>
    <w:rsid w:val="008D309C"/>
    <w:rsid w:val="008D43F4"/>
    <w:rsid w:val="008D58F9"/>
    <w:rsid w:val="008D7427"/>
    <w:rsid w:val="008E3338"/>
    <w:rsid w:val="008E47BE"/>
    <w:rsid w:val="008E5B3F"/>
    <w:rsid w:val="008E6A6E"/>
    <w:rsid w:val="008F09DF"/>
    <w:rsid w:val="008F3053"/>
    <w:rsid w:val="008F3136"/>
    <w:rsid w:val="008F40DF"/>
    <w:rsid w:val="008F5E16"/>
    <w:rsid w:val="008F5EFC"/>
    <w:rsid w:val="00901670"/>
    <w:rsid w:val="00902212"/>
    <w:rsid w:val="00903E0A"/>
    <w:rsid w:val="00904721"/>
    <w:rsid w:val="009052FE"/>
    <w:rsid w:val="00907780"/>
    <w:rsid w:val="00907EDD"/>
    <w:rsid w:val="009107AD"/>
    <w:rsid w:val="00910D0E"/>
    <w:rsid w:val="00911922"/>
    <w:rsid w:val="00915568"/>
    <w:rsid w:val="00917E0C"/>
    <w:rsid w:val="00920711"/>
    <w:rsid w:val="00921A1E"/>
    <w:rsid w:val="00924EA9"/>
    <w:rsid w:val="00925CE1"/>
    <w:rsid w:val="00925F5C"/>
    <w:rsid w:val="00930897"/>
    <w:rsid w:val="009320D2"/>
    <w:rsid w:val="009329FB"/>
    <w:rsid w:val="00932C77"/>
    <w:rsid w:val="00933D12"/>
    <w:rsid w:val="0093417F"/>
    <w:rsid w:val="00934AC2"/>
    <w:rsid w:val="009375BB"/>
    <w:rsid w:val="009418E9"/>
    <w:rsid w:val="00943EF5"/>
    <w:rsid w:val="00946044"/>
    <w:rsid w:val="0094653B"/>
    <w:rsid w:val="009465AB"/>
    <w:rsid w:val="00946DEE"/>
    <w:rsid w:val="00953499"/>
    <w:rsid w:val="00954A16"/>
    <w:rsid w:val="0095696D"/>
    <w:rsid w:val="00960F2D"/>
    <w:rsid w:val="0096482F"/>
    <w:rsid w:val="00964E3A"/>
    <w:rsid w:val="00966C2A"/>
    <w:rsid w:val="00967126"/>
    <w:rsid w:val="00970EAE"/>
    <w:rsid w:val="00971627"/>
    <w:rsid w:val="00972478"/>
    <w:rsid w:val="00972797"/>
    <w:rsid w:val="0097279D"/>
    <w:rsid w:val="00976837"/>
    <w:rsid w:val="00980311"/>
    <w:rsid w:val="0098170E"/>
    <w:rsid w:val="0098285C"/>
    <w:rsid w:val="00983B56"/>
    <w:rsid w:val="009847FD"/>
    <w:rsid w:val="009851B3"/>
    <w:rsid w:val="00985300"/>
    <w:rsid w:val="009865F2"/>
    <w:rsid w:val="00986720"/>
    <w:rsid w:val="00987F00"/>
    <w:rsid w:val="0099403D"/>
    <w:rsid w:val="00995B0B"/>
    <w:rsid w:val="009A1883"/>
    <w:rsid w:val="009A39F5"/>
    <w:rsid w:val="009A4588"/>
    <w:rsid w:val="009A5EA5"/>
    <w:rsid w:val="009B00C2"/>
    <w:rsid w:val="009B26AB"/>
    <w:rsid w:val="009B3476"/>
    <w:rsid w:val="009B39BC"/>
    <w:rsid w:val="009B438F"/>
    <w:rsid w:val="009B5069"/>
    <w:rsid w:val="009B54BE"/>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22C"/>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3029"/>
    <w:rsid w:val="00A1446F"/>
    <w:rsid w:val="00A151B5"/>
    <w:rsid w:val="00A220FF"/>
    <w:rsid w:val="00A227E0"/>
    <w:rsid w:val="00A232E4"/>
    <w:rsid w:val="00A24AAD"/>
    <w:rsid w:val="00A26A8A"/>
    <w:rsid w:val="00A27255"/>
    <w:rsid w:val="00A32304"/>
    <w:rsid w:val="00A33413"/>
    <w:rsid w:val="00A3420E"/>
    <w:rsid w:val="00A35D66"/>
    <w:rsid w:val="00A41085"/>
    <w:rsid w:val="00A425FA"/>
    <w:rsid w:val="00A43960"/>
    <w:rsid w:val="00A44F54"/>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3A03"/>
    <w:rsid w:val="00A803CF"/>
    <w:rsid w:val="00A8133F"/>
    <w:rsid w:val="00A81825"/>
    <w:rsid w:val="00A82CB4"/>
    <w:rsid w:val="00A837A8"/>
    <w:rsid w:val="00A83C36"/>
    <w:rsid w:val="00A932BB"/>
    <w:rsid w:val="00A93579"/>
    <w:rsid w:val="00A93934"/>
    <w:rsid w:val="00A95A33"/>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046B"/>
    <w:rsid w:val="00AD304B"/>
    <w:rsid w:val="00AD31D3"/>
    <w:rsid w:val="00AD4497"/>
    <w:rsid w:val="00AD7780"/>
    <w:rsid w:val="00AE2263"/>
    <w:rsid w:val="00AE248E"/>
    <w:rsid w:val="00AE2D12"/>
    <w:rsid w:val="00AE2F06"/>
    <w:rsid w:val="00AE4F1C"/>
    <w:rsid w:val="00AF1433"/>
    <w:rsid w:val="00AF48B4"/>
    <w:rsid w:val="00AF4923"/>
    <w:rsid w:val="00AF7C74"/>
    <w:rsid w:val="00B000AF"/>
    <w:rsid w:val="00B04E79"/>
    <w:rsid w:val="00B0521F"/>
    <w:rsid w:val="00B07488"/>
    <w:rsid w:val="00B075A2"/>
    <w:rsid w:val="00B10DD2"/>
    <w:rsid w:val="00B115DC"/>
    <w:rsid w:val="00B11952"/>
    <w:rsid w:val="00B149AC"/>
    <w:rsid w:val="00B14BD2"/>
    <w:rsid w:val="00B1557F"/>
    <w:rsid w:val="00B1668D"/>
    <w:rsid w:val="00B17981"/>
    <w:rsid w:val="00B21184"/>
    <w:rsid w:val="00B233BB"/>
    <w:rsid w:val="00B25612"/>
    <w:rsid w:val="00B26437"/>
    <w:rsid w:val="00B2678E"/>
    <w:rsid w:val="00B30647"/>
    <w:rsid w:val="00B31F0E"/>
    <w:rsid w:val="00B34F25"/>
    <w:rsid w:val="00B40E81"/>
    <w:rsid w:val="00B42906"/>
    <w:rsid w:val="00B43672"/>
    <w:rsid w:val="00B473D8"/>
    <w:rsid w:val="00B5165A"/>
    <w:rsid w:val="00B524C1"/>
    <w:rsid w:val="00B52C8D"/>
    <w:rsid w:val="00B564BF"/>
    <w:rsid w:val="00B6104E"/>
    <w:rsid w:val="00B610C7"/>
    <w:rsid w:val="00B62106"/>
    <w:rsid w:val="00B626A8"/>
    <w:rsid w:val="00B65695"/>
    <w:rsid w:val="00B66526"/>
    <w:rsid w:val="00B665A3"/>
    <w:rsid w:val="00B66C8E"/>
    <w:rsid w:val="00B73BB4"/>
    <w:rsid w:val="00B74A6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D6E67"/>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516"/>
    <w:rsid w:val="00C14EE6"/>
    <w:rsid w:val="00C151DA"/>
    <w:rsid w:val="00C152A1"/>
    <w:rsid w:val="00C16CCB"/>
    <w:rsid w:val="00C2142B"/>
    <w:rsid w:val="00C21A5A"/>
    <w:rsid w:val="00C21B65"/>
    <w:rsid w:val="00C22987"/>
    <w:rsid w:val="00C23956"/>
    <w:rsid w:val="00C248E6"/>
    <w:rsid w:val="00C2766F"/>
    <w:rsid w:val="00C2767D"/>
    <w:rsid w:val="00C3223B"/>
    <w:rsid w:val="00C333C6"/>
    <w:rsid w:val="00C35CC5"/>
    <w:rsid w:val="00C361C5"/>
    <w:rsid w:val="00C377D1"/>
    <w:rsid w:val="00C37BDA"/>
    <w:rsid w:val="00C37C84"/>
    <w:rsid w:val="00C42B41"/>
    <w:rsid w:val="00C45B60"/>
    <w:rsid w:val="00C46166"/>
    <w:rsid w:val="00C4710D"/>
    <w:rsid w:val="00C50CAD"/>
    <w:rsid w:val="00C5319C"/>
    <w:rsid w:val="00C57933"/>
    <w:rsid w:val="00C60050"/>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D32"/>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D756B"/>
    <w:rsid w:val="00CE08E8"/>
    <w:rsid w:val="00CE2133"/>
    <w:rsid w:val="00CE245D"/>
    <w:rsid w:val="00CE300F"/>
    <w:rsid w:val="00CE3582"/>
    <w:rsid w:val="00CE3795"/>
    <w:rsid w:val="00CE3E20"/>
    <w:rsid w:val="00CF32B1"/>
    <w:rsid w:val="00CF4827"/>
    <w:rsid w:val="00CF4C69"/>
    <w:rsid w:val="00CF581C"/>
    <w:rsid w:val="00CF71E0"/>
    <w:rsid w:val="00D001B1"/>
    <w:rsid w:val="00D03176"/>
    <w:rsid w:val="00D04772"/>
    <w:rsid w:val="00D05D21"/>
    <w:rsid w:val="00D060A8"/>
    <w:rsid w:val="00D06605"/>
    <w:rsid w:val="00D0720F"/>
    <w:rsid w:val="00D074E2"/>
    <w:rsid w:val="00D11B0B"/>
    <w:rsid w:val="00D12A3E"/>
    <w:rsid w:val="00D16EA0"/>
    <w:rsid w:val="00D22160"/>
    <w:rsid w:val="00D22172"/>
    <w:rsid w:val="00D2301B"/>
    <w:rsid w:val="00D239EE"/>
    <w:rsid w:val="00D30534"/>
    <w:rsid w:val="00D33B30"/>
    <w:rsid w:val="00D35728"/>
    <w:rsid w:val="00D359A7"/>
    <w:rsid w:val="00D37BCF"/>
    <w:rsid w:val="00D40F93"/>
    <w:rsid w:val="00D42277"/>
    <w:rsid w:val="00D43C59"/>
    <w:rsid w:val="00D44ADE"/>
    <w:rsid w:val="00D46356"/>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1D12"/>
    <w:rsid w:val="00D926B3"/>
    <w:rsid w:val="00D92F63"/>
    <w:rsid w:val="00D947B6"/>
    <w:rsid w:val="00D94A53"/>
    <w:rsid w:val="00D9678E"/>
    <w:rsid w:val="00D97E00"/>
    <w:rsid w:val="00DA00BC"/>
    <w:rsid w:val="00DA0E22"/>
    <w:rsid w:val="00DA1EFA"/>
    <w:rsid w:val="00DA25E7"/>
    <w:rsid w:val="00DA3687"/>
    <w:rsid w:val="00DA39F2"/>
    <w:rsid w:val="00DA492A"/>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9FF"/>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383"/>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6A0"/>
    <w:rsid w:val="00E90702"/>
    <w:rsid w:val="00E9241E"/>
    <w:rsid w:val="00E93DEF"/>
    <w:rsid w:val="00E947B1"/>
    <w:rsid w:val="00E96852"/>
    <w:rsid w:val="00E969ED"/>
    <w:rsid w:val="00E97B0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179D"/>
    <w:rsid w:val="00EE2E34"/>
    <w:rsid w:val="00EE2E91"/>
    <w:rsid w:val="00EE3370"/>
    <w:rsid w:val="00EE43A2"/>
    <w:rsid w:val="00EE46B7"/>
    <w:rsid w:val="00EE5A49"/>
    <w:rsid w:val="00EE664B"/>
    <w:rsid w:val="00EE70A4"/>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74C6"/>
    <w:rsid w:val="00F11E04"/>
    <w:rsid w:val="00F12B24"/>
    <w:rsid w:val="00F12BC7"/>
    <w:rsid w:val="00F15223"/>
    <w:rsid w:val="00F164B4"/>
    <w:rsid w:val="00F176E4"/>
    <w:rsid w:val="00F20E5F"/>
    <w:rsid w:val="00F25C26"/>
    <w:rsid w:val="00F25CC2"/>
    <w:rsid w:val="00F261A4"/>
    <w:rsid w:val="00F27573"/>
    <w:rsid w:val="00F307B6"/>
    <w:rsid w:val="00F30EB8"/>
    <w:rsid w:val="00F31876"/>
    <w:rsid w:val="00F31C67"/>
    <w:rsid w:val="00F35D64"/>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2C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A3F1A9-E3E5-40BF-AB0F-60916947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B4226"/>
    <w:rPr>
      <w:sz w:val="16"/>
      <w:szCs w:val="16"/>
    </w:rPr>
  </w:style>
  <w:style w:type="paragraph" w:styleId="CommentText">
    <w:name w:val="annotation text"/>
    <w:basedOn w:val="Normal"/>
    <w:link w:val="CommentTextChar"/>
    <w:semiHidden/>
    <w:unhideWhenUsed/>
    <w:rsid w:val="001B4226"/>
    <w:rPr>
      <w:sz w:val="20"/>
      <w:szCs w:val="20"/>
    </w:rPr>
  </w:style>
  <w:style w:type="character" w:customStyle="1" w:styleId="CommentTextChar">
    <w:name w:val="Comment Text Char"/>
    <w:basedOn w:val="DefaultParagraphFont"/>
    <w:link w:val="CommentText"/>
    <w:semiHidden/>
    <w:rsid w:val="001B4226"/>
  </w:style>
  <w:style w:type="paragraph" w:styleId="CommentSubject">
    <w:name w:val="annotation subject"/>
    <w:basedOn w:val="CommentText"/>
    <w:next w:val="CommentText"/>
    <w:link w:val="CommentSubjectChar"/>
    <w:semiHidden/>
    <w:unhideWhenUsed/>
    <w:rsid w:val="001B4226"/>
    <w:rPr>
      <w:b/>
      <w:bCs/>
    </w:rPr>
  </w:style>
  <w:style w:type="character" w:customStyle="1" w:styleId="CommentSubjectChar">
    <w:name w:val="Comment Subject Char"/>
    <w:basedOn w:val="CommentTextChar"/>
    <w:link w:val="CommentSubject"/>
    <w:semiHidden/>
    <w:rsid w:val="001B4226"/>
    <w:rPr>
      <w:b/>
      <w:bCs/>
    </w:rPr>
  </w:style>
  <w:style w:type="paragraph" w:styleId="Revision">
    <w:name w:val="Revision"/>
    <w:hidden/>
    <w:uiPriority w:val="99"/>
    <w:semiHidden/>
    <w:rsid w:val="009052FE"/>
    <w:rPr>
      <w:sz w:val="24"/>
      <w:szCs w:val="24"/>
    </w:rPr>
  </w:style>
  <w:style w:type="character" w:styleId="Hyperlink">
    <w:name w:val="Hyperlink"/>
    <w:basedOn w:val="DefaultParagraphFont"/>
    <w:unhideWhenUsed/>
    <w:rsid w:val="00966C2A"/>
    <w:rPr>
      <w:color w:val="0000FF" w:themeColor="hyperlink"/>
      <w:u w:val="single"/>
    </w:rPr>
  </w:style>
  <w:style w:type="character" w:customStyle="1" w:styleId="UnresolvedMention1">
    <w:name w:val="Unresolved Mention1"/>
    <w:basedOn w:val="DefaultParagraphFont"/>
    <w:uiPriority w:val="99"/>
    <w:semiHidden/>
    <w:unhideWhenUsed/>
    <w:rsid w:val="00966C2A"/>
    <w:rPr>
      <w:color w:val="605E5C"/>
      <w:shd w:val="clear" w:color="auto" w:fill="E1DFDD"/>
    </w:rPr>
  </w:style>
  <w:style w:type="character" w:styleId="FollowedHyperlink">
    <w:name w:val="FollowedHyperlink"/>
    <w:basedOn w:val="DefaultParagraphFont"/>
    <w:semiHidden/>
    <w:unhideWhenUsed/>
    <w:rsid w:val="001A2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2541</Words>
  <Characters>13739</Characters>
  <Application>Microsoft Office Word</Application>
  <DocSecurity>4</DocSecurity>
  <Lines>270</Lines>
  <Paragraphs>75</Paragraphs>
  <ScaleCrop>false</ScaleCrop>
  <HeadingPairs>
    <vt:vector size="2" baseType="variant">
      <vt:variant>
        <vt:lpstr>Title</vt:lpstr>
      </vt:variant>
      <vt:variant>
        <vt:i4>1</vt:i4>
      </vt:variant>
    </vt:vector>
  </HeadingPairs>
  <TitlesOfParts>
    <vt:vector size="1" baseType="lpstr">
      <vt:lpstr>BA - HB01595 (Committee Report (Substituted))</vt:lpstr>
    </vt:vector>
  </TitlesOfParts>
  <Company>State of Texas</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22075</dc:subject>
  <dc:creator>State of Texas</dc:creator>
  <dc:description>HB 1595 by Bonnen-(H)Higher Education (Substitute Document Number: 88R 21752)</dc:description>
  <cp:lastModifiedBy>Alan Gonzalez Otero</cp:lastModifiedBy>
  <cp:revision>2</cp:revision>
  <cp:lastPrinted>2003-11-26T17:21:00Z</cp:lastPrinted>
  <dcterms:created xsi:type="dcterms:W3CDTF">2023-04-11T23:35:00Z</dcterms:created>
  <dcterms:modified xsi:type="dcterms:W3CDTF">2023-04-11T23:35:00Z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23.95.1598</vt:lpwstr>
  </property>
</Properties>
</file>